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7593551F" w:rsidR="00034028" w:rsidRPr="00C1767E" w:rsidRDefault="00034028" w:rsidP="00034028">
      <w:pPr>
        <w:tabs>
          <w:tab w:val="left" w:pos="2820"/>
        </w:tabs>
        <w:spacing w:after="120"/>
        <w:rPr>
          <w:rFonts w:ascii="Arial" w:hAnsi="Arial"/>
          <w:b/>
          <w:bCs/>
          <w:noProof/>
          <w:sz w:val="24"/>
          <w:szCs w:val="24"/>
        </w:rPr>
      </w:pPr>
      <w:bookmarkStart w:id="0" w:name="page1"/>
      <w:r w:rsidRPr="0040029F">
        <w:rPr>
          <w:rFonts w:ascii="Arial" w:hAnsi="Arial"/>
          <w:b/>
          <w:bCs/>
          <w:noProof/>
          <w:sz w:val="24"/>
          <w:szCs w:val="24"/>
        </w:rPr>
        <w:t>3GPP TSG-RAN WG4 Meeting #9</w:t>
      </w:r>
      <w:r w:rsidR="00FF6B64" w:rsidRPr="0040029F">
        <w:rPr>
          <w:rFonts w:ascii="Arial" w:hAnsi="Arial"/>
          <w:b/>
          <w:bCs/>
          <w:noProof/>
          <w:sz w:val="24"/>
          <w:szCs w:val="24"/>
        </w:rPr>
        <w:t>8</w:t>
      </w:r>
      <w:r w:rsidR="00B04E8C" w:rsidRPr="0040029F">
        <w:rPr>
          <w:rFonts w:ascii="Arial" w:hAnsi="Arial"/>
          <w:b/>
          <w:bCs/>
          <w:noProof/>
          <w:sz w:val="24"/>
          <w:szCs w:val="24"/>
        </w:rPr>
        <w:t>bis</w:t>
      </w:r>
      <w:r w:rsidRPr="0040029F">
        <w:rPr>
          <w:rFonts w:ascii="Arial" w:hAnsi="Arial"/>
          <w:b/>
          <w:bCs/>
          <w:noProof/>
          <w:sz w:val="24"/>
          <w:szCs w:val="24"/>
        </w:rPr>
        <w:t>-e</w:t>
      </w:r>
      <w:r w:rsidRPr="0040029F">
        <w:rPr>
          <w:rFonts w:ascii="Arial" w:hAnsi="Arial"/>
          <w:b/>
          <w:bCs/>
          <w:noProof/>
          <w:sz w:val="24"/>
        </w:rPr>
        <w:tab/>
      </w:r>
      <w:r w:rsidRPr="0040029F">
        <w:rPr>
          <w:rFonts w:ascii="Arial" w:hAnsi="Arial"/>
          <w:b/>
          <w:bCs/>
          <w:noProof/>
          <w:sz w:val="24"/>
        </w:rPr>
        <w:tab/>
      </w:r>
      <w:r w:rsidRPr="0040029F">
        <w:rPr>
          <w:rFonts w:ascii="Arial" w:hAnsi="Arial"/>
          <w:b/>
          <w:bCs/>
          <w:noProof/>
          <w:sz w:val="24"/>
        </w:rPr>
        <w:tab/>
      </w:r>
      <w:r w:rsidRPr="0040029F">
        <w:rPr>
          <w:rFonts w:ascii="Arial" w:hAnsi="Arial"/>
          <w:b/>
          <w:bCs/>
          <w:noProof/>
          <w:sz w:val="24"/>
        </w:rPr>
        <w:tab/>
      </w:r>
      <w:r w:rsidRPr="0040029F">
        <w:rPr>
          <w:rFonts w:ascii="Arial" w:hAnsi="Arial"/>
          <w:b/>
          <w:bCs/>
          <w:noProof/>
          <w:sz w:val="24"/>
          <w:szCs w:val="24"/>
        </w:rPr>
        <w:t xml:space="preserve">  </w:t>
      </w:r>
      <w:r w:rsidRPr="0040029F">
        <w:rPr>
          <w:rFonts w:ascii="Arial" w:hAnsi="Arial"/>
          <w:b/>
          <w:bCs/>
          <w:noProof/>
          <w:sz w:val="24"/>
        </w:rPr>
        <w:tab/>
      </w:r>
      <w:r w:rsidRPr="0040029F">
        <w:rPr>
          <w:rFonts w:ascii="Arial" w:hAnsi="Arial"/>
          <w:b/>
          <w:bCs/>
          <w:noProof/>
          <w:sz w:val="24"/>
        </w:rPr>
        <w:tab/>
      </w:r>
      <w:r w:rsidRPr="0040029F">
        <w:rPr>
          <w:rFonts w:ascii="Arial" w:hAnsi="Arial"/>
          <w:b/>
          <w:bCs/>
          <w:noProof/>
          <w:sz w:val="24"/>
        </w:rPr>
        <w:tab/>
      </w:r>
      <w:r w:rsidRPr="0040029F">
        <w:rPr>
          <w:rFonts w:ascii="Arial" w:hAnsi="Arial"/>
          <w:b/>
          <w:bCs/>
          <w:noProof/>
          <w:sz w:val="24"/>
        </w:rPr>
        <w:tab/>
      </w:r>
      <w:r w:rsidRPr="0040029F">
        <w:rPr>
          <w:rFonts w:ascii="Arial" w:hAnsi="Arial"/>
          <w:b/>
          <w:bCs/>
          <w:noProof/>
          <w:sz w:val="24"/>
        </w:rPr>
        <w:tab/>
      </w:r>
      <w:r w:rsidRPr="0040029F">
        <w:rPr>
          <w:rFonts w:ascii="Arial" w:hAnsi="Arial"/>
          <w:b/>
          <w:bCs/>
          <w:noProof/>
          <w:sz w:val="24"/>
        </w:rPr>
        <w:tab/>
      </w:r>
      <w:r w:rsidRPr="0040029F">
        <w:rPr>
          <w:rFonts w:ascii="Arial" w:hAnsi="Arial"/>
          <w:b/>
          <w:bCs/>
          <w:noProof/>
          <w:sz w:val="24"/>
        </w:rPr>
        <w:tab/>
      </w:r>
      <w:r w:rsidRPr="0040029F">
        <w:rPr>
          <w:rFonts w:ascii="Arial" w:hAnsi="Arial"/>
          <w:b/>
          <w:bCs/>
          <w:noProof/>
          <w:sz w:val="24"/>
        </w:rPr>
        <w:tab/>
      </w:r>
      <w:r w:rsidRPr="0040029F">
        <w:rPr>
          <w:rFonts w:ascii="Arial" w:hAnsi="Arial"/>
          <w:b/>
          <w:bCs/>
          <w:noProof/>
          <w:sz w:val="24"/>
        </w:rPr>
        <w:tab/>
      </w:r>
      <w:r w:rsidRPr="0040029F">
        <w:rPr>
          <w:rFonts w:ascii="Arial" w:hAnsi="Arial"/>
          <w:b/>
          <w:bCs/>
          <w:noProof/>
          <w:sz w:val="24"/>
        </w:rPr>
        <w:tab/>
      </w:r>
      <w:r w:rsidR="0083189B" w:rsidRPr="0040029F">
        <w:rPr>
          <w:rFonts w:ascii="Arial" w:hAnsi="Arial"/>
          <w:b/>
          <w:bCs/>
          <w:noProof/>
          <w:sz w:val="24"/>
        </w:rPr>
        <w:t>R4-21</w:t>
      </w:r>
      <w:r w:rsidR="0040029F" w:rsidRPr="0040029F">
        <w:rPr>
          <w:rFonts w:ascii="Arial" w:hAnsi="Arial"/>
          <w:b/>
          <w:bCs/>
          <w:noProof/>
          <w:sz w:val="24"/>
        </w:rPr>
        <w:t>07256</w:t>
      </w:r>
      <w:r w:rsidR="002014AC" w:rsidRPr="00C1767E">
        <w:rPr>
          <w:rFonts w:ascii="Arial" w:hAnsi="Arial"/>
          <w:b/>
          <w:bCs/>
          <w:noProof/>
          <w:sz w:val="24"/>
          <w:szCs w:val="24"/>
        </w:rPr>
        <w:br/>
      </w:r>
      <w:r w:rsidR="002014AC" w:rsidRPr="00C1767E">
        <w:rPr>
          <w:rFonts w:ascii="Arial" w:hAnsi="Arial"/>
          <w:b/>
          <w:bCs/>
          <w:noProof/>
          <w:sz w:val="24"/>
        </w:rPr>
        <w:t xml:space="preserve">E-meeting, </w:t>
      </w:r>
      <w:r w:rsidR="00D44A8D" w:rsidRPr="00291C73">
        <w:rPr>
          <w:rFonts w:ascii="Arial" w:hAnsi="Arial"/>
          <w:b/>
          <w:bCs/>
          <w:noProof/>
          <w:sz w:val="24"/>
        </w:rPr>
        <w:t>1</w:t>
      </w:r>
      <w:r w:rsidR="002014AC" w:rsidRPr="00291C73">
        <w:rPr>
          <w:rFonts w:ascii="Arial" w:hAnsi="Arial"/>
          <w:b/>
          <w:bCs/>
          <w:noProof/>
          <w:sz w:val="24"/>
        </w:rPr>
        <w:t xml:space="preserve">2 – </w:t>
      </w:r>
      <w:r w:rsidR="00D44A8D" w:rsidRPr="00291C73">
        <w:rPr>
          <w:rFonts w:ascii="Arial" w:hAnsi="Arial"/>
          <w:b/>
          <w:bCs/>
          <w:noProof/>
          <w:sz w:val="24"/>
        </w:rPr>
        <w:t>20 April</w:t>
      </w:r>
      <w:r w:rsidR="002014AC" w:rsidRPr="00291C73">
        <w:rPr>
          <w:rFonts w:ascii="Arial" w:hAnsi="Arial"/>
          <w:b/>
          <w:bCs/>
          <w:noProof/>
          <w:sz w:val="24"/>
        </w:rPr>
        <w:t xml:space="preserve"> 2021</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732FB411" w14:textId="5F136CD8" w:rsidR="00590F5A" w:rsidRPr="009566CF" w:rsidRDefault="000864E9" w:rsidP="001C13D6">
      <w:pPr>
        <w:spacing w:after="0" w:line="360" w:lineRule="auto"/>
        <w:ind w:left="1985" w:hanging="1985"/>
        <w:rPr>
          <w:rFonts w:ascii="Arial" w:hAnsi="Arial" w:cs="Arial"/>
          <w:b/>
          <w:bCs/>
          <w:sz w:val="22"/>
          <w:szCs w:val="22"/>
          <w:highlight w:val="yellow"/>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590F5A" w:rsidRPr="00291C73">
        <w:rPr>
          <w:rFonts w:ascii="Arial" w:hAnsi="Arial" w:cs="Arial"/>
          <w:b/>
          <w:bCs/>
          <w:sz w:val="22"/>
          <w:szCs w:val="22"/>
          <w:lang w:val="en-US"/>
        </w:rPr>
        <w:t xml:space="preserve">NTN - On </w:t>
      </w:r>
      <w:bookmarkStart w:id="1" w:name="_Hlk54178313"/>
      <w:r w:rsidR="009566CF" w:rsidRPr="00291C73">
        <w:rPr>
          <w:rFonts w:ascii="Arial" w:hAnsi="Arial" w:cs="Arial"/>
          <w:b/>
          <w:bCs/>
          <w:sz w:val="22"/>
          <w:szCs w:val="22"/>
          <w:lang w:val="en-US"/>
        </w:rPr>
        <w:t>measurement requirements</w:t>
      </w:r>
    </w:p>
    <w:bookmarkEnd w:id="1"/>
    <w:p w14:paraId="3A7FC9A2" w14:textId="43F90DB0" w:rsidR="000864E9" w:rsidRPr="00C1767E" w:rsidRDefault="000864E9" w:rsidP="001C13D6">
      <w:pPr>
        <w:spacing w:after="0" w:line="360" w:lineRule="auto"/>
        <w:ind w:left="1985" w:hanging="1985"/>
        <w:rPr>
          <w:rFonts w:ascii="Arial" w:hAnsi="Arial" w:cs="Arial"/>
          <w:b/>
          <w:bCs/>
          <w:sz w:val="22"/>
          <w:szCs w:val="22"/>
          <w:lang w:val="en-US"/>
        </w:rPr>
      </w:pPr>
      <w:r w:rsidRPr="00BD5901">
        <w:rPr>
          <w:rFonts w:ascii="Arial" w:hAnsi="Arial" w:cs="Arial"/>
          <w:b/>
          <w:bCs/>
          <w:sz w:val="22"/>
          <w:szCs w:val="22"/>
          <w:lang w:val="en-US"/>
        </w:rPr>
        <w:t>Agenda item:</w:t>
      </w:r>
      <w:r w:rsidR="02041898" w:rsidRPr="00BD5901">
        <w:rPr>
          <w:rFonts w:ascii="Arial" w:hAnsi="Arial" w:cs="Arial"/>
          <w:b/>
          <w:bCs/>
          <w:sz w:val="22"/>
          <w:szCs w:val="22"/>
          <w:lang w:val="en-US"/>
        </w:rPr>
        <w:t xml:space="preserve"> </w:t>
      </w:r>
      <w:r w:rsidR="004F63F1" w:rsidRPr="00BD5901">
        <w:rPr>
          <w:rFonts w:ascii="Arial" w:hAnsi="Arial" w:cs="Arial"/>
          <w:b/>
          <w:bCs/>
          <w:sz w:val="22"/>
          <w:szCs w:val="22"/>
          <w:lang w:val="en-US"/>
        </w:rPr>
        <w:tab/>
      </w:r>
      <w:r w:rsidR="009F7D5F" w:rsidRPr="00BD5901">
        <w:rPr>
          <w:rFonts w:ascii="Arial" w:hAnsi="Arial" w:cs="Arial"/>
          <w:b/>
          <w:bCs/>
          <w:sz w:val="22"/>
          <w:szCs w:val="22"/>
          <w:lang w:val="en-US"/>
        </w:rPr>
        <w:t>8</w:t>
      </w:r>
      <w:r w:rsidR="002F1955" w:rsidRPr="00BD5901">
        <w:rPr>
          <w:rFonts w:ascii="Arial" w:hAnsi="Arial" w:cs="Arial"/>
          <w:b/>
          <w:bCs/>
          <w:sz w:val="22"/>
          <w:szCs w:val="22"/>
          <w:lang w:val="en-US"/>
        </w:rPr>
        <w:t>.8.</w:t>
      </w:r>
      <w:r w:rsidR="009566CF" w:rsidRPr="00BD5901">
        <w:rPr>
          <w:rFonts w:ascii="Arial" w:hAnsi="Arial" w:cs="Arial"/>
          <w:b/>
          <w:bCs/>
          <w:sz w:val="22"/>
          <w:szCs w:val="22"/>
          <w:lang w:val="en-US"/>
        </w:rPr>
        <w:t>4.3</w:t>
      </w:r>
      <w:r w:rsidRPr="00C1767E">
        <w:rPr>
          <w:rFonts w:ascii="Arial" w:hAnsi="Arial" w:cs="Arial"/>
          <w:b/>
          <w:bCs/>
          <w:sz w:val="22"/>
          <w:szCs w:val="22"/>
          <w:lang w:val="en-US"/>
        </w:rPr>
        <w:tab/>
      </w:r>
    </w:p>
    <w:p w14:paraId="1D881B00" w14:textId="558C9D9D"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BC76E6">
        <w:rPr>
          <w:rFonts w:ascii="Arial" w:hAnsi="Arial" w:cs="Arial"/>
          <w:b/>
          <w:bCs/>
          <w:sz w:val="22"/>
          <w:szCs w:val="22"/>
          <w:lang w:val="en-US"/>
        </w:rPr>
        <w:t>Discussion</w:t>
      </w:r>
    </w:p>
    <w:bookmarkEnd w:id="0"/>
    <w:p w14:paraId="09809938" w14:textId="17406CA7" w:rsidR="00AD407E" w:rsidRDefault="00AD407E" w:rsidP="00CA5E39">
      <w:pPr>
        <w:pStyle w:val="Heading1"/>
        <w:numPr>
          <w:ilvl w:val="0"/>
          <w:numId w:val="14"/>
        </w:numPr>
        <w:ind w:left="851" w:hanging="851"/>
      </w:pPr>
      <w:r>
        <w:t>Introduction</w:t>
      </w:r>
    </w:p>
    <w:p w14:paraId="54A34702" w14:textId="37E82CA6"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1B5647">
            <w:pPr>
              <w:pStyle w:val="Heading3"/>
              <w:ind w:left="720" w:hanging="720"/>
              <w:rPr>
                <w:rFonts w:eastAsia="PMingLiU"/>
                <w:lang w:eastAsia="zh-TW"/>
              </w:rPr>
            </w:pPr>
            <w:r w:rsidRPr="00C75CEB">
              <w:rPr>
                <w:rFonts w:eastAsia="PMingLiU"/>
                <w:lang w:eastAsia="zh-TW"/>
              </w:rPr>
              <w:t>4.1.4</w:t>
            </w:r>
            <w:r w:rsidRPr="00C75CEB">
              <w:rPr>
                <w:rFonts w:eastAsia="PMingLiU"/>
                <w:lang w:eastAsia="zh-TW"/>
              </w:rPr>
              <w:tab/>
              <w:t>RAN4</w:t>
            </w:r>
          </w:p>
          <w:p w14:paraId="2106AECC" w14:textId="77777777" w:rsidR="001B5647" w:rsidRPr="00C75CEB" w:rsidRDefault="001B5647" w:rsidP="001B5647">
            <w:pPr>
              <w:spacing w:after="120"/>
              <w:rPr>
                <w:bCs/>
              </w:rPr>
            </w:pPr>
            <w:r w:rsidRPr="00C75CEB">
              <w:rPr>
                <w:bCs/>
              </w:rPr>
              <w:t>Study the framework how NTN core requirements are defined.</w:t>
            </w:r>
          </w:p>
          <w:p w14:paraId="186C9B5C" w14:textId="77777777" w:rsidR="001B5647" w:rsidRDefault="001B5647" w:rsidP="001B5647">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1990C455" w14:textId="77777777" w:rsidR="001B5647" w:rsidRDefault="001B5647" w:rsidP="001B5647">
            <w:pPr>
              <w:numPr>
                <w:ilvl w:val="1"/>
                <w:numId w:val="41"/>
              </w:numPr>
              <w:spacing w:line="276" w:lineRule="auto"/>
              <w:ind w:leftChars="40" w:left="440"/>
              <w:contextualSpacing/>
              <w:textAlignment w:val="auto"/>
              <w:rPr>
                <w:rFonts w:eastAsia="MS Mincho"/>
              </w:rPr>
            </w:pPr>
            <w:r>
              <w:rPr>
                <w:rFonts w:eastAsia="MS Mincho"/>
                <w:bCs/>
                <w:lang w:val="en-US" w:eastAsia="ja-JP"/>
              </w:rPr>
              <w:t xml:space="preserve">UE RRM core requirements </w:t>
            </w:r>
          </w:p>
          <w:p w14:paraId="61C8B549" w14:textId="77777777" w:rsidR="001B5647" w:rsidRDefault="001B5647" w:rsidP="001B5647">
            <w:pPr>
              <w:numPr>
                <w:ilvl w:val="0"/>
                <w:numId w:val="42"/>
              </w:numPr>
              <w:tabs>
                <w:tab w:val="num" w:pos="440"/>
              </w:tabs>
              <w:overflowPunct/>
              <w:autoSpaceDE/>
              <w:adjustRightInd/>
              <w:spacing w:after="0"/>
              <w:ind w:left="440"/>
              <w:textAlignment w:val="auto"/>
              <w:rPr>
                <w:lang w:val="en-US" w:eastAsia="sv-SE"/>
              </w:rPr>
            </w:pPr>
            <w:r>
              <w:rPr>
                <w:lang w:val="en-US"/>
              </w:rPr>
              <w:t xml:space="preserve">Study and identify which bands may be potentially relevant to NTN including: </w:t>
            </w:r>
          </w:p>
          <w:p w14:paraId="6BDFAB80" w14:textId="77777777" w:rsidR="001B5647" w:rsidRDefault="001B5647" w:rsidP="001B5647">
            <w:pPr>
              <w:numPr>
                <w:ilvl w:val="1"/>
                <w:numId w:val="42"/>
              </w:numPr>
              <w:tabs>
                <w:tab w:val="num" w:pos="1160"/>
              </w:tabs>
              <w:overflowPunct/>
              <w:autoSpaceDE/>
              <w:adjustRightInd/>
              <w:spacing w:after="0"/>
              <w:ind w:left="1160"/>
              <w:textAlignment w:val="auto"/>
              <w:rPr>
                <w:lang w:val="en-US"/>
              </w:rPr>
            </w:pPr>
            <w:r>
              <w:rPr>
                <w:lang w:val="en-US"/>
              </w:rPr>
              <w:t>Analysis of regulations in the spectrum considered</w:t>
            </w:r>
          </w:p>
          <w:p w14:paraId="7EC3429C" w14:textId="77777777" w:rsidR="001B5647" w:rsidRDefault="001B5647" w:rsidP="001B5647">
            <w:pPr>
              <w:numPr>
                <w:ilvl w:val="1"/>
                <w:numId w:val="42"/>
              </w:numPr>
              <w:tabs>
                <w:tab w:val="num" w:pos="1160"/>
              </w:tabs>
              <w:overflowPunct/>
              <w:autoSpaceDE/>
              <w:adjustRightInd/>
              <w:spacing w:after="0"/>
              <w:ind w:left="1160"/>
              <w:textAlignment w:val="auto"/>
              <w:rPr>
                <w:lang w:val="en-US"/>
              </w:rPr>
            </w:pPr>
            <w:r>
              <w:rPr>
                <w:lang w:val="en-US"/>
              </w:rPr>
              <w:t xml:space="preserve">Adjacent channel co-existence </w:t>
            </w:r>
          </w:p>
          <w:p w14:paraId="23DF5748" w14:textId="77777777" w:rsidR="001B5647" w:rsidRDefault="001B5647" w:rsidP="001B5647">
            <w:pPr>
              <w:numPr>
                <w:ilvl w:val="0"/>
                <w:numId w:val="43"/>
              </w:numPr>
              <w:textAlignment w:val="auto"/>
              <w:rPr>
                <w:lang w:val="en-US"/>
              </w:rPr>
            </w:pPr>
            <w:r>
              <w:rPr>
                <w:lang w:val="en-US"/>
              </w:rPr>
              <w:t>Considering the potential bands to be used as example for the WID:</w:t>
            </w:r>
          </w:p>
          <w:p w14:paraId="4A241B54" w14:textId="77777777" w:rsidR="001B5647" w:rsidRDefault="001B5647" w:rsidP="001B5647">
            <w:pPr>
              <w:numPr>
                <w:ilvl w:val="0"/>
                <w:numId w:val="44"/>
              </w:numPr>
              <w:tabs>
                <w:tab w:val="num" w:pos="440"/>
              </w:tabs>
              <w:overflowPunct/>
              <w:autoSpaceDE/>
              <w:adjustRightInd/>
              <w:spacing w:after="0"/>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66394BDE" w14:textId="77777777" w:rsidR="001B5647" w:rsidRDefault="001B5647" w:rsidP="001B5647">
            <w:pPr>
              <w:spacing w:after="0"/>
              <w:rPr>
                <w:bCs/>
                <w:lang w:val="en-US"/>
              </w:rPr>
            </w:pPr>
          </w:p>
          <w:p w14:paraId="3F206222" w14:textId="77777777" w:rsidR="001B5647" w:rsidRDefault="001B5647" w:rsidP="001B5647">
            <w:pPr>
              <w:numPr>
                <w:ilvl w:val="0"/>
                <w:numId w:val="43"/>
              </w:numPr>
              <w:spacing w:after="0"/>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58618E10" w14:textId="77777777" w:rsidR="001B5647" w:rsidRDefault="001B5647" w:rsidP="001B5647">
            <w:pPr>
              <w:rPr>
                <w:i/>
                <w:iCs/>
              </w:rPr>
            </w:pPr>
          </w:p>
          <w:p w14:paraId="7052F0CD" w14:textId="115B239E" w:rsidR="00FF6B64" w:rsidRPr="00C75CEB" w:rsidRDefault="001B5647" w:rsidP="001B5647">
            <w:pPr>
              <w:spacing w:after="60"/>
              <w:rPr>
                <w:lang w:eastAsia="ko-KR"/>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r w:rsidRPr="00C75CEB">
              <w:rPr>
                <w:lang w:eastAsia="ko-KR"/>
              </w:rPr>
              <w:t xml:space="preserve"> </w:t>
            </w:r>
          </w:p>
        </w:tc>
      </w:tr>
    </w:tbl>
    <w:p w14:paraId="7F0C5A94" w14:textId="77777777" w:rsidR="00DD5B65" w:rsidRDefault="00DD5B65" w:rsidP="0011722B"/>
    <w:p w14:paraId="3158DC04" w14:textId="05797CD5" w:rsidR="000527C0" w:rsidRPr="00C75CEB" w:rsidRDefault="000527C0" w:rsidP="0011722B">
      <w:proofErr w:type="gramStart"/>
      <w:r w:rsidRPr="00C75CEB">
        <w:t>Furthermore</w:t>
      </w:r>
      <w:proofErr w:type="gramEnd"/>
      <w:r w:rsidRPr="00C75CEB">
        <w:t xml:space="preserve"> the following </w:t>
      </w:r>
      <w:r w:rsidR="00DD5B65">
        <w:t>proposal</w:t>
      </w:r>
      <w:r w:rsidRPr="00C75CEB">
        <w:t xml:space="preserve"> w</w:t>
      </w:r>
      <w:r w:rsidR="00333BF6">
        <w:t>as</w:t>
      </w:r>
      <w:r w:rsidRPr="00C75CEB">
        <w:t xml:space="preserve"> </w:t>
      </w:r>
      <w:r w:rsidR="003F346D">
        <w:t>agreed</w:t>
      </w:r>
      <w:r w:rsidRPr="00C75CEB">
        <w:t xml:space="preserve"> in [</w:t>
      </w:r>
      <w:r w:rsidR="003F346D">
        <w:t>3</w:t>
      </w:r>
      <w:r w:rsidRPr="00C75CEB">
        <w:t>]</w:t>
      </w:r>
      <w:r w:rsidR="00FD20B5" w:rsidRPr="00C75CEB">
        <w:t>:</w:t>
      </w:r>
    </w:p>
    <w:p w14:paraId="4C054EF9" w14:textId="6FCB06F4" w:rsidR="009566CF" w:rsidRDefault="009566CF" w:rsidP="00C75CEB">
      <w:pPr>
        <w:rPr>
          <w:lang w:val="en-US"/>
        </w:rPr>
      </w:pPr>
      <w:r w:rsidRPr="009566CF">
        <w:rPr>
          <w:noProof/>
          <w:lang w:val="en-US"/>
        </w:rPr>
        <mc:AlternateContent>
          <mc:Choice Requires="wps">
            <w:drawing>
              <wp:inline distT="0" distB="0" distL="0" distR="0" wp14:anchorId="5AD6A2AB" wp14:editId="0AE4ABA1">
                <wp:extent cx="6072996" cy="140462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996" cy="1404620"/>
                        </a:xfrm>
                        <a:prstGeom prst="rect">
                          <a:avLst/>
                        </a:prstGeom>
                        <a:solidFill>
                          <a:srgbClr val="FFFFFF"/>
                        </a:solidFill>
                        <a:ln w="9525">
                          <a:solidFill>
                            <a:srgbClr val="000000"/>
                          </a:solidFill>
                          <a:miter lim="800000"/>
                          <a:headEnd/>
                          <a:tailEnd/>
                        </a:ln>
                      </wps:spPr>
                      <wps:txbx>
                        <w:txbxContent>
                          <w:p w14:paraId="1A5FD10A" w14:textId="25037413" w:rsidR="00542F1E" w:rsidRPr="009566CF" w:rsidRDefault="00542F1E" w:rsidP="009566CF">
                            <w:pPr>
                              <w:numPr>
                                <w:ilvl w:val="0"/>
                                <w:numId w:val="45"/>
                              </w:numPr>
                              <w:spacing w:after="0"/>
                              <w:rPr>
                                <w:lang w:val="en-US"/>
                              </w:rPr>
                            </w:pPr>
                            <w:r w:rsidRPr="009566CF">
                              <w:rPr>
                                <w:lang w:val="en-US"/>
                              </w:rPr>
                              <w:t>Proposal: RAN4 to study the following aspects for further discussion of (new) SMTC and Measurement Gap based requirements in NTN</w:t>
                            </w:r>
                          </w:p>
                          <w:p w14:paraId="68E31BE9" w14:textId="77777777" w:rsidR="00542F1E" w:rsidRPr="009566CF" w:rsidRDefault="00542F1E" w:rsidP="009566CF">
                            <w:pPr>
                              <w:numPr>
                                <w:ilvl w:val="1"/>
                                <w:numId w:val="45"/>
                              </w:numPr>
                              <w:spacing w:after="0"/>
                              <w:rPr>
                                <w:lang w:val="en-US"/>
                              </w:rPr>
                            </w:pPr>
                            <w:r w:rsidRPr="009566CF">
                              <w:rPr>
                                <w:lang w:val="en-US"/>
                              </w:rPr>
                              <w:t>Propagation delay and/or reception power differences between cells</w:t>
                            </w:r>
                          </w:p>
                          <w:p w14:paraId="6BB2AB15" w14:textId="77777777" w:rsidR="00542F1E" w:rsidRPr="009566CF" w:rsidRDefault="00542F1E" w:rsidP="009566CF">
                            <w:pPr>
                              <w:numPr>
                                <w:ilvl w:val="2"/>
                                <w:numId w:val="45"/>
                              </w:numPr>
                              <w:spacing w:after="0"/>
                              <w:rPr>
                                <w:lang w:val="en-US"/>
                              </w:rPr>
                            </w:pPr>
                            <w:r w:rsidRPr="009566CF">
                              <w:rPr>
                                <w:lang w:val="en-US"/>
                              </w:rPr>
                              <w:t>between GEO type satellites</w:t>
                            </w:r>
                          </w:p>
                          <w:p w14:paraId="405A44FB" w14:textId="77777777" w:rsidR="00542F1E" w:rsidRPr="009566CF" w:rsidRDefault="00542F1E" w:rsidP="009566CF">
                            <w:pPr>
                              <w:numPr>
                                <w:ilvl w:val="2"/>
                                <w:numId w:val="45"/>
                              </w:numPr>
                              <w:spacing w:after="0"/>
                              <w:rPr>
                                <w:lang w:val="en-US"/>
                              </w:rPr>
                            </w:pPr>
                            <w:r w:rsidRPr="009566CF">
                              <w:rPr>
                                <w:lang w:val="en-US"/>
                              </w:rPr>
                              <w:t>between LEO type satellites at the same altitude</w:t>
                            </w:r>
                          </w:p>
                          <w:p w14:paraId="621530DE" w14:textId="77777777" w:rsidR="00542F1E" w:rsidRPr="009566CF" w:rsidRDefault="00542F1E" w:rsidP="009566CF">
                            <w:pPr>
                              <w:numPr>
                                <w:ilvl w:val="3"/>
                                <w:numId w:val="45"/>
                              </w:numPr>
                              <w:spacing w:after="0"/>
                              <w:rPr>
                                <w:lang w:val="en-US"/>
                              </w:rPr>
                            </w:pPr>
                            <w:r w:rsidRPr="009566CF">
                              <w:rPr>
                                <w:lang w:val="en-US"/>
                              </w:rPr>
                              <w:t>between earth fixed cells or between earth moving cells</w:t>
                            </w:r>
                          </w:p>
                          <w:p w14:paraId="62008CC3" w14:textId="77777777" w:rsidR="00542F1E" w:rsidRPr="009566CF" w:rsidRDefault="00542F1E" w:rsidP="009566CF">
                            <w:pPr>
                              <w:numPr>
                                <w:ilvl w:val="3"/>
                                <w:numId w:val="45"/>
                              </w:numPr>
                              <w:spacing w:after="0"/>
                              <w:rPr>
                                <w:lang w:val="en-US"/>
                              </w:rPr>
                            </w:pPr>
                            <w:r w:rsidRPr="009566CF">
                              <w:rPr>
                                <w:lang w:val="en-US"/>
                              </w:rPr>
                              <w:t>FFS: whether/which to prioritize</w:t>
                            </w:r>
                          </w:p>
                          <w:p w14:paraId="4A25060E" w14:textId="77777777" w:rsidR="00542F1E" w:rsidRPr="009566CF" w:rsidRDefault="00542F1E" w:rsidP="009566CF">
                            <w:pPr>
                              <w:numPr>
                                <w:ilvl w:val="2"/>
                                <w:numId w:val="45"/>
                              </w:numPr>
                              <w:spacing w:after="0"/>
                              <w:rPr>
                                <w:lang w:val="en-US"/>
                              </w:rPr>
                            </w:pPr>
                            <w:r w:rsidRPr="009566CF">
                              <w:rPr>
                                <w:lang w:val="en-US"/>
                              </w:rPr>
                              <w:t xml:space="preserve">depending on satellite/cell deployment topologies consider both scenarios where cells are within a satellite and belong to different satellites </w:t>
                            </w:r>
                          </w:p>
                          <w:p w14:paraId="09663289" w14:textId="77777777" w:rsidR="00542F1E" w:rsidRPr="009566CF" w:rsidRDefault="00542F1E" w:rsidP="009566CF">
                            <w:pPr>
                              <w:numPr>
                                <w:ilvl w:val="2"/>
                                <w:numId w:val="45"/>
                              </w:numPr>
                              <w:spacing w:after="0"/>
                              <w:rPr>
                                <w:lang w:val="en-US"/>
                              </w:rPr>
                            </w:pPr>
                            <w:r w:rsidRPr="009566CF">
                              <w:rPr>
                                <w:lang w:val="en-US"/>
                              </w:rPr>
                              <w:t>FFS: between HAPs</w:t>
                            </w:r>
                          </w:p>
                          <w:p w14:paraId="30AD7761" w14:textId="77777777" w:rsidR="00542F1E" w:rsidRPr="009566CF" w:rsidRDefault="00542F1E" w:rsidP="009566CF">
                            <w:pPr>
                              <w:numPr>
                                <w:ilvl w:val="2"/>
                                <w:numId w:val="45"/>
                              </w:numPr>
                              <w:spacing w:after="0"/>
                              <w:rPr>
                                <w:lang w:val="en-US"/>
                              </w:rPr>
                            </w:pPr>
                            <w:r w:rsidRPr="009566CF">
                              <w:rPr>
                                <w:lang w:val="en-US"/>
                              </w:rPr>
                              <w:t>whether/how to account for delay propagation from feeder link is up to RAN1/RAN2 assumption/design</w:t>
                            </w:r>
                          </w:p>
                          <w:p w14:paraId="09C99444" w14:textId="77777777" w:rsidR="00542F1E" w:rsidRPr="009566CF" w:rsidRDefault="00542F1E" w:rsidP="009566CF">
                            <w:pPr>
                              <w:numPr>
                                <w:ilvl w:val="1"/>
                                <w:numId w:val="45"/>
                              </w:numPr>
                              <w:spacing w:after="0"/>
                              <w:rPr>
                                <w:lang w:val="en-US"/>
                              </w:rPr>
                            </w:pPr>
                            <w:r w:rsidRPr="009566CF">
                              <w:rPr>
                                <w:lang w:val="en-US"/>
                              </w:rPr>
                              <w:t>Detailed requirements will be discussed when RAN2 solutions, if any, are provided</w:t>
                            </w:r>
                          </w:p>
                          <w:p w14:paraId="293BF0DB" w14:textId="0A40DF4F" w:rsidR="00542F1E" w:rsidRPr="009566CF" w:rsidRDefault="00542F1E" w:rsidP="009566CF">
                            <w:pPr>
                              <w:numPr>
                                <w:ilvl w:val="1"/>
                                <w:numId w:val="45"/>
                              </w:numPr>
                              <w:spacing w:after="0"/>
                              <w:rPr>
                                <w:lang w:val="en-US"/>
                              </w:rPr>
                            </w:pPr>
                            <w:r w:rsidRPr="009566CF">
                              <w:rPr>
                                <w:lang w:val="en-US"/>
                              </w:rPr>
                              <w:t xml:space="preserve">FFS: whether/how to split detailed work between Rel-17 work items, </w:t>
                            </w:r>
                            <w:proofErr w:type="gramStart"/>
                            <w:r w:rsidRPr="009566CF">
                              <w:rPr>
                                <w:lang w:val="en-US"/>
                              </w:rPr>
                              <w:t>NTN</w:t>
                            </w:r>
                            <w:proofErr w:type="gramEnd"/>
                            <w:r w:rsidRPr="009566CF">
                              <w:rPr>
                                <w:lang w:val="en-US"/>
                              </w:rPr>
                              <w:t xml:space="preserve"> and MG enhancement</w:t>
                            </w:r>
                          </w:p>
                        </w:txbxContent>
                      </wps:txbx>
                      <wps:bodyPr rot="0" vert="horz" wrap="square" lIns="91440" tIns="45720" rIns="91440" bIns="45720" anchor="t" anchorCtr="0">
                        <a:spAutoFit/>
                      </wps:bodyPr>
                    </wps:wsp>
                  </a:graphicData>
                </a:graphic>
              </wp:inline>
            </w:drawing>
          </mc:Choice>
          <mc:Fallback>
            <w:pict>
              <v:shapetype w14:anchorId="5AD6A2AB" id="_x0000_t202" coordsize="21600,21600" o:spt="202" path="m,l,21600r21600,l21600,xe">
                <v:stroke joinstyle="miter"/>
                <v:path gradientshapeok="t" o:connecttype="rect"/>
              </v:shapetype>
              <v:shape id="Text Box 2" o:spid="_x0000_s1026" type="#_x0000_t202" style="width:4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">
                <v:textbox style="mso-fit-shape-to-text:t">
                  <w:txbxContent>
                    <w:p w14:paraId="1A5FD10A" w14:textId="25037413" w:rsidR="00542F1E" w:rsidRPr="009566CF" w:rsidRDefault="00542F1E" w:rsidP="009566CF">
                      <w:pPr>
                        <w:numPr>
                          <w:ilvl w:val="0"/>
                          <w:numId w:val="45"/>
                        </w:numPr>
                        <w:spacing w:after="0"/>
                        <w:rPr>
                          <w:lang w:val="en-US"/>
                        </w:rPr>
                      </w:pPr>
                      <w:r w:rsidRPr="009566CF">
                        <w:rPr>
                          <w:lang w:val="en-US"/>
                        </w:rPr>
                        <w:t>Proposal: RAN4 to study the following aspects for further discussion of (new) SMTC and Measurement Gap based requirements in NTN</w:t>
                      </w:r>
                    </w:p>
                    <w:p w14:paraId="68E31BE9" w14:textId="77777777" w:rsidR="00542F1E" w:rsidRPr="009566CF" w:rsidRDefault="00542F1E" w:rsidP="009566CF">
                      <w:pPr>
                        <w:numPr>
                          <w:ilvl w:val="1"/>
                          <w:numId w:val="45"/>
                        </w:numPr>
                        <w:spacing w:after="0"/>
                        <w:rPr>
                          <w:lang w:val="en-US"/>
                        </w:rPr>
                      </w:pPr>
                      <w:r w:rsidRPr="009566CF">
                        <w:rPr>
                          <w:lang w:val="en-US"/>
                        </w:rPr>
                        <w:t>Propagation delay and/or reception power differences between cells</w:t>
                      </w:r>
                    </w:p>
                    <w:p w14:paraId="6BB2AB15" w14:textId="77777777" w:rsidR="00542F1E" w:rsidRPr="009566CF" w:rsidRDefault="00542F1E" w:rsidP="009566CF">
                      <w:pPr>
                        <w:numPr>
                          <w:ilvl w:val="2"/>
                          <w:numId w:val="45"/>
                        </w:numPr>
                        <w:spacing w:after="0"/>
                        <w:rPr>
                          <w:lang w:val="en-US"/>
                        </w:rPr>
                      </w:pPr>
                      <w:r w:rsidRPr="009566CF">
                        <w:rPr>
                          <w:lang w:val="en-US"/>
                        </w:rPr>
                        <w:t>between GEO type satellites</w:t>
                      </w:r>
                    </w:p>
                    <w:p w14:paraId="405A44FB" w14:textId="77777777" w:rsidR="00542F1E" w:rsidRPr="009566CF" w:rsidRDefault="00542F1E" w:rsidP="009566CF">
                      <w:pPr>
                        <w:numPr>
                          <w:ilvl w:val="2"/>
                          <w:numId w:val="45"/>
                        </w:numPr>
                        <w:spacing w:after="0"/>
                        <w:rPr>
                          <w:lang w:val="en-US"/>
                        </w:rPr>
                      </w:pPr>
                      <w:r w:rsidRPr="009566CF">
                        <w:rPr>
                          <w:lang w:val="en-US"/>
                        </w:rPr>
                        <w:t>between LEO type satellites at the same altitude</w:t>
                      </w:r>
                    </w:p>
                    <w:p w14:paraId="621530DE" w14:textId="77777777" w:rsidR="00542F1E" w:rsidRPr="009566CF" w:rsidRDefault="00542F1E" w:rsidP="009566CF">
                      <w:pPr>
                        <w:numPr>
                          <w:ilvl w:val="3"/>
                          <w:numId w:val="45"/>
                        </w:numPr>
                        <w:spacing w:after="0"/>
                        <w:rPr>
                          <w:lang w:val="en-US"/>
                        </w:rPr>
                      </w:pPr>
                      <w:r w:rsidRPr="009566CF">
                        <w:rPr>
                          <w:lang w:val="en-US"/>
                        </w:rPr>
                        <w:t>between earth fixed cells or between earth moving cells</w:t>
                      </w:r>
                    </w:p>
                    <w:p w14:paraId="62008CC3" w14:textId="77777777" w:rsidR="00542F1E" w:rsidRPr="009566CF" w:rsidRDefault="00542F1E" w:rsidP="009566CF">
                      <w:pPr>
                        <w:numPr>
                          <w:ilvl w:val="3"/>
                          <w:numId w:val="45"/>
                        </w:numPr>
                        <w:spacing w:after="0"/>
                        <w:rPr>
                          <w:lang w:val="en-US"/>
                        </w:rPr>
                      </w:pPr>
                      <w:r w:rsidRPr="009566CF">
                        <w:rPr>
                          <w:lang w:val="en-US"/>
                        </w:rPr>
                        <w:t>FFS: whether/which to prioritize</w:t>
                      </w:r>
                    </w:p>
                    <w:p w14:paraId="4A25060E" w14:textId="77777777" w:rsidR="00542F1E" w:rsidRPr="009566CF" w:rsidRDefault="00542F1E" w:rsidP="009566CF">
                      <w:pPr>
                        <w:numPr>
                          <w:ilvl w:val="2"/>
                          <w:numId w:val="45"/>
                        </w:numPr>
                        <w:spacing w:after="0"/>
                        <w:rPr>
                          <w:lang w:val="en-US"/>
                        </w:rPr>
                      </w:pPr>
                      <w:r w:rsidRPr="009566CF">
                        <w:rPr>
                          <w:lang w:val="en-US"/>
                        </w:rPr>
                        <w:t xml:space="preserve">depending on satellite/cell deployment topologies consider both scenarios where cells are within a satellite and belong to different satellites </w:t>
                      </w:r>
                    </w:p>
                    <w:p w14:paraId="09663289" w14:textId="77777777" w:rsidR="00542F1E" w:rsidRPr="009566CF" w:rsidRDefault="00542F1E" w:rsidP="009566CF">
                      <w:pPr>
                        <w:numPr>
                          <w:ilvl w:val="2"/>
                          <w:numId w:val="45"/>
                        </w:numPr>
                        <w:spacing w:after="0"/>
                        <w:rPr>
                          <w:lang w:val="en-US"/>
                        </w:rPr>
                      </w:pPr>
                      <w:r w:rsidRPr="009566CF">
                        <w:rPr>
                          <w:lang w:val="en-US"/>
                        </w:rPr>
                        <w:t>FFS: between HAPs</w:t>
                      </w:r>
                    </w:p>
                    <w:p w14:paraId="30AD7761" w14:textId="77777777" w:rsidR="00542F1E" w:rsidRPr="009566CF" w:rsidRDefault="00542F1E" w:rsidP="009566CF">
                      <w:pPr>
                        <w:numPr>
                          <w:ilvl w:val="2"/>
                          <w:numId w:val="45"/>
                        </w:numPr>
                        <w:spacing w:after="0"/>
                        <w:rPr>
                          <w:lang w:val="en-US"/>
                        </w:rPr>
                      </w:pPr>
                      <w:r w:rsidRPr="009566CF">
                        <w:rPr>
                          <w:lang w:val="en-US"/>
                        </w:rPr>
                        <w:t>whether/how to account for delay propagation from feeder link is up to RAN1/RAN2 assumption/design</w:t>
                      </w:r>
                    </w:p>
                    <w:p w14:paraId="09C99444" w14:textId="77777777" w:rsidR="00542F1E" w:rsidRPr="009566CF" w:rsidRDefault="00542F1E" w:rsidP="009566CF">
                      <w:pPr>
                        <w:numPr>
                          <w:ilvl w:val="1"/>
                          <w:numId w:val="45"/>
                        </w:numPr>
                        <w:spacing w:after="0"/>
                        <w:rPr>
                          <w:lang w:val="en-US"/>
                        </w:rPr>
                      </w:pPr>
                      <w:r w:rsidRPr="009566CF">
                        <w:rPr>
                          <w:lang w:val="en-US"/>
                        </w:rPr>
                        <w:t>Detailed requirements will be discussed when RAN2 solutions, if any, are provided</w:t>
                      </w:r>
                    </w:p>
                    <w:p w14:paraId="293BF0DB" w14:textId="0A40DF4F" w:rsidR="00542F1E" w:rsidRPr="009566CF" w:rsidRDefault="00542F1E" w:rsidP="009566CF">
                      <w:pPr>
                        <w:numPr>
                          <w:ilvl w:val="1"/>
                          <w:numId w:val="45"/>
                        </w:numPr>
                        <w:spacing w:after="0"/>
                        <w:rPr>
                          <w:lang w:val="en-US"/>
                        </w:rPr>
                      </w:pPr>
                      <w:r w:rsidRPr="009566CF">
                        <w:rPr>
                          <w:lang w:val="en-US"/>
                        </w:rPr>
                        <w:t xml:space="preserve">FFS: whether/how to split detailed work between Rel-17 work items, </w:t>
                      </w:r>
                      <w:proofErr w:type="gramStart"/>
                      <w:r w:rsidRPr="009566CF">
                        <w:rPr>
                          <w:lang w:val="en-US"/>
                        </w:rPr>
                        <w:t>NTN</w:t>
                      </w:r>
                      <w:proofErr w:type="gramEnd"/>
                      <w:r w:rsidRPr="009566CF">
                        <w:rPr>
                          <w:lang w:val="en-US"/>
                        </w:rPr>
                        <w:t xml:space="preserve"> and MG enhancement</w:t>
                      </w:r>
                    </w:p>
                  </w:txbxContent>
                </v:textbox>
                <w10:anchorlock/>
              </v:shape>
            </w:pict>
          </mc:Fallback>
        </mc:AlternateContent>
      </w:r>
    </w:p>
    <w:p w14:paraId="78DB000C" w14:textId="259116BF" w:rsidR="00DD5B65" w:rsidRDefault="00DD5B65" w:rsidP="00DD5B65">
      <w:pPr>
        <w:rPr>
          <w:lang w:val="en-US"/>
        </w:rPr>
      </w:pPr>
      <w:r>
        <w:rPr>
          <w:noProof/>
        </w:rPr>
        <w:lastRenderedPageBreak/>
        <mc:AlternateContent>
          <mc:Choice Requires="wps">
            <w:drawing>
              <wp:anchor distT="45720" distB="45720" distL="114300" distR="114300" simplePos="0" relativeHeight="251659264" behindDoc="0" locked="0" layoutInCell="1" allowOverlap="1" wp14:anchorId="5D2B0D62" wp14:editId="57AD5DCA">
                <wp:simplePos x="0" y="0"/>
                <wp:positionH relativeFrom="margin">
                  <wp:posOffset>0</wp:posOffset>
                </wp:positionH>
                <wp:positionV relativeFrom="paragraph">
                  <wp:posOffset>304800</wp:posOffset>
                </wp:positionV>
                <wp:extent cx="6057900" cy="1404620"/>
                <wp:effectExtent l="0" t="0" r="19050"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195E1DBD" w14:textId="6B4860AB" w:rsidR="00542F1E" w:rsidRPr="00C04697" w:rsidRDefault="00542F1E" w:rsidP="00DD5B65">
                            <w:pPr>
                              <w:spacing w:after="0"/>
                              <w:rPr>
                                <w:b/>
                                <w:bCs/>
                              </w:rPr>
                            </w:pPr>
                            <w:r w:rsidRPr="00C04697">
                              <w:rPr>
                                <w:b/>
                                <w:bCs/>
                              </w:rPr>
                              <w:t>Agreements</w:t>
                            </w:r>
                          </w:p>
                          <w:p w14:paraId="4AA78B3D" w14:textId="77777777" w:rsidR="00542F1E" w:rsidRDefault="00542F1E" w:rsidP="00DD5B65">
                            <w:pPr>
                              <w:spacing w:after="0"/>
                            </w:pPr>
                            <w:r>
                              <w:t xml:space="preserve">1. Reconfiguration with sync is the baseline for connected mode mobility in NTN (the use of legacy RLF and re-establishment mechanism are not excluded) </w:t>
                            </w:r>
                          </w:p>
                          <w:p w14:paraId="18958A1D" w14:textId="77777777" w:rsidR="00542F1E" w:rsidRDefault="00542F1E" w:rsidP="00DD5B65">
                            <w:pPr>
                              <w:spacing w:after="0"/>
                            </w:pPr>
                            <w:r>
                              <w:t xml:space="preserve">2. The CHO can be used in NTN for both moving cell and fixed cell scenarios, and the CHO procedure and execution condition defined in Rel-16 is the baseline for NTN CHO.  </w:t>
                            </w:r>
                          </w:p>
                          <w:p w14:paraId="3BE0440A" w14:textId="77777777" w:rsidR="00542F1E" w:rsidRDefault="00542F1E" w:rsidP="00DD5B65">
                            <w:pPr>
                              <w:spacing w:after="0"/>
                            </w:pPr>
                            <w:r>
                              <w:t xml:space="preserve">3. NTN specific CHO execution condition can be further discussed. </w:t>
                            </w:r>
                          </w:p>
                          <w:p w14:paraId="259F14BE" w14:textId="77777777" w:rsidR="00542F1E" w:rsidRDefault="00542F1E" w:rsidP="00DD5B65">
                            <w:pPr>
                              <w:spacing w:after="0"/>
                            </w:pPr>
                            <w:r>
                              <w:t xml:space="preserve">4. The existing measurement framework (e.g. measurement configuration, </w:t>
                            </w:r>
                            <w:proofErr w:type="gramStart"/>
                            <w:r>
                              <w:t>execution</w:t>
                            </w:r>
                            <w:proofErr w:type="gramEnd"/>
                            <w:r>
                              <w:t xml:space="preserve"> and reporting) is the baseline, and all the existing measurement criteria and event can be used in NTN. Support for new measurement is not excluded. </w:t>
                            </w:r>
                          </w:p>
                          <w:p w14:paraId="62EB8015" w14:textId="77777777" w:rsidR="00542F1E" w:rsidRDefault="00542F1E" w:rsidP="00DD5B65">
                            <w:pPr>
                              <w:spacing w:after="0"/>
                            </w:pPr>
                            <w:r>
                              <w:t xml:space="preserve">5. Legacy SSB periods (as in TN) shall be supported in NTN </w:t>
                            </w:r>
                          </w:p>
                          <w:p w14:paraId="7F9D9545" w14:textId="77777777" w:rsidR="00542F1E" w:rsidRDefault="00542F1E" w:rsidP="00DD5B65">
                            <w:pPr>
                              <w:spacing w:after="0"/>
                              <w:rPr>
                                <w:b/>
                                <w:bCs/>
                              </w:rPr>
                            </w:pPr>
                          </w:p>
                          <w:p w14:paraId="5B746AA1" w14:textId="77777777" w:rsidR="00542F1E" w:rsidRPr="00C04697" w:rsidRDefault="00542F1E" w:rsidP="00DD5B65">
                            <w:pPr>
                              <w:spacing w:after="0"/>
                              <w:rPr>
                                <w:b/>
                                <w:bCs/>
                              </w:rPr>
                            </w:pPr>
                            <w:r w:rsidRPr="00C04697">
                              <w:rPr>
                                <w:b/>
                                <w:bCs/>
                              </w:rPr>
                              <w:t xml:space="preserve">Agreements via email - offline 106: </w:t>
                            </w:r>
                          </w:p>
                          <w:p w14:paraId="1C2B985A" w14:textId="77777777" w:rsidR="00542F1E" w:rsidRDefault="00542F1E" w:rsidP="00DD5B65">
                            <w:pPr>
                              <w:spacing w:after="0"/>
                            </w:pPr>
                            <w:r>
                              <w:t xml:space="preserve">1. RAN2 understanding that UE shall not be forced to detect the SSB burst outside the corresponding configured SMTC window in NTN, just like the principle in TN. </w:t>
                            </w:r>
                          </w:p>
                          <w:p w14:paraId="4F8083D2" w14:textId="77777777" w:rsidR="00542F1E" w:rsidRPr="00B26C06" w:rsidRDefault="00542F1E" w:rsidP="00DD5B65">
                            <w:pPr>
                              <w:spacing w:after="0"/>
                              <w:rPr>
                                <w:b/>
                                <w:bCs/>
                              </w:rPr>
                            </w:pPr>
                          </w:p>
                          <w:p w14:paraId="104DE1F0" w14:textId="77777777" w:rsidR="00542F1E" w:rsidRPr="00C04697" w:rsidRDefault="00542F1E" w:rsidP="00DD5B65">
                            <w:pPr>
                              <w:spacing w:after="0"/>
                              <w:rPr>
                                <w:b/>
                                <w:bCs/>
                              </w:rPr>
                            </w:pPr>
                            <w:r w:rsidRPr="00C04697">
                              <w:rPr>
                                <w:b/>
                                <w:bCs/>
                              </w:rPr>
                              <w:t xml:space="preserve">Agreements: </w:t>
                            </w:r>
                          </w:p>
                          <w:p w14:paraId="16E17514" w14:textId="77777777" w:rsidR="00542F1E" w:rsidRDefault="00542F1E" w:rsidP="00DD5B65">
                            <w:pPr>
                              <w:spacing w:after="0"/>
                            </w:pPr>
                            <w:r>
                              <w:t xml:space="preserve">1. SMTC and gap configuration in NTN are configured based on the timing of </w:t>
                            </w:r>
                            <w:proofErr w:type="spellStart"/>
                            <w:r>
                              <w:t>PCell</w:t>
                            </w:r>
                            <w:proofErr w:type="spellEnd"/>
                            <w:r>
                              <w:t xml:space="preserve"> </w:t>
                            </w:r>
                          </w:p>
                          <w:p w14:paraId="62553F47" w14:textId="77777777" w:rsidR="00542F1E" w:rsidRDefault="00542F1E" w:rsidP="00DD5B65">
                            <w:pPr>
                              <w:spacing w:after="0"/>
                            </w:pPr>
                            <w:r>
                              <w:t xml:space="preserve">2. RAN2 can first identify the scenarios and discuss how serious the impact is before addressing any enhancement for SMTC configuration in NTN. </w:t>
                            </w:r>
                          </w:p>
                          <w:p w14:paraId="7B697DC7" w14:textId="77777777" w:rsidR="00542F1E" w:rsidRDefault="00542F1E" w:rsidP="00DD5B65">
                            <w:pPr>
                              <w:spacing w:after="0"/>
                            </w:pPr>
                            <w:r>
                              <w:t xml:space="preserve">3. RAN2 can’t assume that the network will always have UE accurate location info for SMTC window configuration in NTN </w:t>
                            </w:r>
                          </w:p>
                          <w:p w14:paraId="190B2638" w14:textId="77777777" w:rsidR="00542F1E" w:rsidRDefault="00542F1E" w:rsidP="00DD5B65">
                            <w:pPr>
                              <w:spacing w:after="0"/>
                            </w:pPr>
                            <w:r>
                              <w:t>4. UE along with the network in NTN should also have the same understanding of the timing, including the timing for measurement gap, to avoid any un-synchronized scheduling between UE and the network, just like the way we have in 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2B0D62" id="_x0000_s1027" type="#_x0000_t202" style="position:absolute;margin-left:0;margin-top:24pt;width:477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">
                <v:textbox style="mso-fit-shape-to-text:t">
                  <w:txbxContent>
                    <w:p w14:paraId="195E1DBD" w14:textId="6B4860AB" w:rsidR="00542F1E" w:rsidRPr="00C04697" w:rsidRDefault="00542F1E" w:rsidP="00DD5B65">
                      <w:pPr>
                        <w:spacing w:after="0"/>
                        <w:rPr>
                          <w:b/>
                          <w:bCs/>
                        </w:rPr>
                      </w:pPr>
                      <w:r w:rsidRPr="00C04697">
                        <w:rPr>
                          <w:b/>
                          <w:bCs/>
                        </w:rPr>
                        <w:t>Agreements</w:t>
                      </w:r>
                    </w:p>
                    <w:p w14:paraId="4AA78B3D" w14:textId="77777777" w:rsidR="00542F1E" w:rsidRDefault="00542F1E" w:rsidP="00DD5B65">
                      <w:pPr>
                        <w:spacing w:after="0"/>
                      </w:pPr>
                      <w:r>
                        <w:t xml:space="preserve">1. Reconfiguration with sync is the baseline for connected mode mobility in NTN (the use of legacy RLF and re-establishment mechanism are not excluded) </w:t>
                      </w:r>
                    </w:p>
                    <w:p w14:paraId="18958A1D" w14:textId="77777777" w:rsidR="00542F1E" w:rsidRDefault="00542F1E" w:rsidP="00DD5B65">
                      <w:pPr>
                        <w:spacing w:after="0"/>
                      </w:pPr>
                      <w:r>
                        <w:t xml:space="preserve">2. The CHO can be used in NTN for both moving cell and fixed cell scenarios, and the CHO procedure and execution condition defined in Rel-16 is the baseline for NTN CHO.  </w:t>
                      </w:r>
                    </w:p>
                    <w:p w14:paraId="3BE0440A" w14:textId="77777777" w:rsidR="00542F1E" w:rsidRDefault="00542F1E" w:rsidP="00DD5B65">
                      <w:pPr>
                        <w:spacing w:after="0"/>
                      </w:pPr>
                      <w:r>
                        <w:t xml:space="preserve">3. NTN specific CHO execution condition can be further discussed. </w:t>
                      </w:r>
                    </w:p>
                    <w:p w14:paraId="259F14BE" w14:textId="77777777" w:rsidR="00542F1E" w:rsidRDefault="00542F1E" w:rsidP="00DD5B65">
                      <w:pPr>
                        <w:spacing w:after="0"/>
                      </w:pPr>
                      <w:r>
                        <w:t xml:space="preserve">4. The existing measurement framework (e.g. measurement configuration, </w:t>
                      </w:r>
                      <w:proofErr w:type="gramStart"/>
                      <w:r>
                        <w:t>execution</w:t>
                      </w:r>
                      <w:proofErr w:type="gramEnd"/>
                      <w:r>
                        <w:t xml:space="preserve"> and reporting) is the baseline, and all the existing measurement criteria and event can be used in NTN. Support for new measurement is not excluded. </w:t>
                      </w:r>
                    </w:p>
                    <w:p w14:paraId="62EB8015" w14:textId="77777777" w:rsidR="00542F1E" w:rsidRDefault="00542F1E" w:rsidP="00DD5B65">
                      <w:pPr>
                        <w:spacing w:after="0"/>
                      </w:pPr>
                      <w:r>
                        <w:t xml:space="preserve">5. Legacy SSB periods (as in TN) shall be supported in NTN </w:t>
                      </w:r>
                    </w:p>
                    <w:p w14:paraId="7F9D9545" w14:textId="77777777" w:rsidR="00542F1E" w:rsidRDefault="00542F1E" w:rsidP="00DD5B65">
                      <w:pPr>
                        <w:spacing w:after="0"/>
                        <w:rPr>
                          <w:b/>
                          <w:bCs/>
                        </w:rPr>
                      </w:pPr>
                    </w:p>
                    <w:p w14:paraId="5B746AA1" w14:textId="77777777" w:rsidR="00542F1E" w:rsidRPr="00C04697" w:rsidRDefault="00542F1E" w:rsidP="00DD5B65">
                      <w:pPr>
                        <w:spacing w:after="0"/>
                        <w:rPr>
                          <w:b/>
                          <w:bCs/>
                        </w:rPr>
                      </w:pPr>
                      <w:r w:rsidRPr="00C04697">
                        <w:rPr>
                          <w:b/>
                          <w:bCs/>
                        </w:rPr>
                        <w:t xml:space="preserve">Agreements via email - offline 106: </w:t>
                      </w:r>
                    </w:p>
                    <w:p w14:paraId="1C2B985A" w14:textId="77777777" w:rsidR="00542F1E" w:rsidRDefault="00542F1E" w:rsidP="00DD5B65">
                      <w:pPr>
                        <w:spacing w:after="0"/>
                      </w:pPr>
                      <w:r>
                        <w:t xml:space="preserve">1. RAN2 understanding that UE shall not be forced to detect the SSB burst outside the corresponding configured SMTC window in NTN, just like the principle in TN. </w:t>
                      </w:r>
                    </w:p>
                    <w:p w14:paraId="4F8083D2" w14:textId="77777777" w:rsidR="00542F1E" w:rsidRPr="00B26C06" w:rsidRDefault="00542F1E" w:rsidP="00DD5B65">
                      <w:pPr>
                        <w:spacing w:after="0"/>
                        <w:rPr>
                          <w:b/>
                          <w:bCs/>
                        </w:rPr>
                      </w:pPr>
                    </w:p>
                    <w:p w14:paraId="104DE1F0" w14:textId="77777777" w:rsidR="00542F1E" w:rsidRPr="00C04697" w:rsidRDefault="00542F1E" w:rsidP="00DD5B65">
                      <w:pPr>
                        <w:spacing w:after="0"/>
                        <w:rPr>
                          <w:b/>
                          <w:bCs/>
                        </w:rPr>
                      </w:pPr>
                      <w:r w:rsidRPr="00C04697">
                        <w:rPr>
                          <w:b/>
                          <w:bCs/>
                        </w:rPr>
                        <w:t xml:space="preserve">Agreements: </w:t>
                      </w:r>
                    </w:p>
                    <w:p w14:paraId="16E17514" w14:textId="77777777" w:rsidR="00542F1E" w:rsidRDefault="00542F1E" w:rsidP="00DD5B65">
                      <w:pPr>
                        <w:spacing w:after="0"/>
                      </w:pPr>
                      <w:r>
                        <w:t xml:space="preserve">1. SMTC and gap configuration in NTN are configured based on the timing of </w:t>
                      </w:r>
                      <w:proofErr w:type="spellStart"/>
                      <w:r>
                        <w:t>PCell</w:t>
                      </w:r>
                      <w:proofErr w:type="spellEnd"/>
                      <w:r>
                        <w:t xml:space="preserve"> </w:t>
                      </w:r>
                    </w:p>
                    <w:p w14:paraId="62553F47" w14:textId="77777777" w:rsidR="00542F1E" w:rsidRDefault="00542F1E" w:rsidP="00DD5B65">
                      <w:pPr>
                        <w:spacing w:after="0"/>
                      </w:pPr>
                      <w:r>
                        <w:t xml:space="preserve">2. RAN2 can first identify the scenarios and discuss how serious the impact is before addressing any enhancement for SMTC configuration in NTN. </w:t>
                      </w:r>
                    </w:p>
                    <w:p w14:paraId="7B697DC7" w14:textId="77777777" w:rsidR="00542F1E" w:rsidRDefault="00542F1E" w:rsidP="00DD5B65">
                      <w:pPr>
                        <w:spacing w:after="0"/>
                      </w:pPr>
                      <w:r>
                        <w:t xml:space="preserve">3. RAN2 can’t assume that the network will always have UE accurate location info for SMTC window configuration in NTN </w:t>
                      </w:r>
                    </w:p>
                    <w:p w14:paraId="190B2638" w14:textId="77777777" w:rsidR="00542F1E" w:rsidRDefault="00542F1E" w:rsidP="00DD5B65">
                      <w:pPr>
                        <w:spacing w:after="0"/>
                      </w:pPr>
                      <w:r>
                        <w:t>4. UE along with the network in NTN should also have the same understanding of the timing, including the timing for measurement gap, to avoid any un-synchronized scheduling between UE and the network, just like the way we have in TN</w:t>
                      </w:r>
                    </w:p>
                  </w:txbxContent>
                </v:textbox>
                <w10:wrap type="square" anchorx="margin"/>
              </v:shape>
            </w:pict>
          </mc:Fallback>
        </mc:AlternateContent>
      </w:r>
      <w:r>
        <w:rPr>
          <w:lang w:val="en-US"/>
        </w:rPr>
        <w:t xml:space="preserve">In RAN2 #112-e </w:t>
      </w:r>
      <w:r>
        <w:rPr>
          <w:lang w:val="en-US"/>
        </w:rPr>
        <w:fldChar w:fldCharType="begin"/>
      </w:r>
      <w:r>
        <w:rPr>
          <w:lang w:val="en-US"/>
        </w:rPr>
        <w:instrText xml:space="preserve"> REF _Ref66866125 \r \h </w:instrText>
      </w:r>
      <w:r>
        <w:rPr>
          <w:lang w:val="en-US"/>
        </w:rPr>
      </w:r>
      <w:r>
        <w:rPr>
          <w:lang w:val="en-US"/>
        </w:rPr>
        <w:fldChar w:fldCharType="separate"/>
      </w:r>
      <w:r w:rsidR="00C902BA">
        <w:rPr>
          <w:lang w:val="en-US"/>
        </w:rPr>
        <w:t>[4]</w:t>
      </w:r>
      <w:r>
        <w:rPr>
          <w:lang w:val="en-US"/>
        </w:rPr>
        <w:fldChar w:fldCharType="end"/>
      </w:r>
      <w:r>
        <w:rPr>
          <w:lang w:val="en-US"/>
        </w:rPr>
        <w:t xml:space="preserve"> the following agreements were made:</w:t>
      </w:r>
    </w:p>
    <w:p w14:paraId="496856AA" w14:textId="77777777" w:rsidR="00DD5B65" w:rsidRDefault="00DD5B65" w:rsidP="00DD5B65">
      <w:pPr>
        <w:rPr>
          <w:lang w:val="en-US"/>
        </w:rPr>
      </w:pPr>
      <w:r>
        <w:rPr>
          <w:lang w:val="en-US"/>
        </w:rPr>
        <w:t xml:space="preserve">The RAN2 agreements confirm </w:t>
      </w:r>
    </w:p>
    <w:p w14:paraId="69C29C4A" w14:textId="4EAFD325" w:rsidR="00DD5B65" w:rsidRPr="00DD5B65" w:rsidRDefault="00DD5B65" w:rsidP="00DD5B65">
      <w:pPr>
        <w:pStyle w:val="ListParagraph"/>
        <w:numPr>
          <w:ilvl w:val="0"/>
          <w:numId w:val="46"/>
        </w:numPr>
        <w:rPr>
          <w:lang w:val="en-US"/>
        </w:rPr>
      </w:pPr>
      <w:r w:rsidRPr="00DD5B65">
        <w:rPr>
          <w:lang w:val="en-US"/>
        </w:rPr>
        <w:t xml:space="preserve">legacy SSB periods are </w:t>
      </w:r>
      <w:r>
        <w:t>supported (i.e. TN values)</w:t>
      </w:r>
    </w:p>
    <w:p w14:paraId="44D9ACB7" w14:textId="1A096FA0" w:rsidR="00DD5B65" w:rsidRDefault="00DD5B65" w:rsidP="00DD5B65">
      <w:pPr>
        <w:pStyle w:val="ListParagraph"/>
        <w:numPr>
          <w:ilvl w:val="0"/>
          <w:numId w:val="46"/>
        </w:numPr>
        <w:rPr>
          <w:lang w:val="en-US"/>
        </w:rPr>
      </w:pPr>
      <w:r>
        <w:rPr>
          <w:lang w:val="en-US"/>
        </w:rPr>
        <w:t xml:space="preserve">UE </w:t>
      </w:r>
      <w:r w:rsidR="00353232">
        <w:rPr>
          <w:lang w:val="en-US"/>
        </w:rPr>
        <w:t>is not forced to detect SSB burst outside the configured SMTC window</w:t>
      </w:r>
    </w:p>
    <w:p w14:paraId="770C1E1F" w14:textId="1680E529" w:rsidR="00353232" w:rsidRDefault="00353232" w:rsidP="00DD5B65">
      <w:pPr>
        <w:pStyle w:val="ListParagraph"/>
        <w:numPr>
          <w:ilvl w:val="0"/>
          <w:numId w:val="46"/>
        </w:numPr>
        <w:rPr>
          <w:lang w:val="en-US"/>
        </w:rPr>
      </w:pPr>
      <w:r>
        <w:rPr>
          <w:lang w:val="en-US"/>
        </w:rPr>
        <w:t xml:space="preserve">SMTC and measurement gap are configured based on the </w:t>
      </w:r>
      <w:proofErr w:type="spellStart"/>
      <w:r>
        <w:rPr>
          <w:lang w:val="en-US"/>
        </w:rPr>
        <w:t>PCell</w:t>
      </w:r>
      <w:proofErr w:type="spellEnd"/>
      <w:r>
        <w:rPr>
          <w:lang w:val="en-US"/>
        </w:rPr>
        <w:t xml:space="preserve"> timing</w:t>
      </w:r>
    </w:p>
    <w:p w14:paraId="69E41355" w14:textId="6CF02A6C" w:rsidR="00353232" w:rsidRPr="00DD5B65" w:rsidRDefault="00353232" w:rsidP="00DD5B65">
      <w:pPr>
        <w:pStyle w:val="ListParagraph"/>
        <w:numPr>
          <w:ilvl w:val="0"/>
          <w:numId w:val="46"/>
        </w:numPr>
        <w:rPr>
          <w:lang w:val="en-US"/>
        </w:rPr>
      </w:pPr>
      <w:r>
        <w:rPr>
          <w:lang w:val="en-US"/>
        </w:rPr>
        <w:t xml:space="preserve">UE and non-terrestrial network shall have same </w:t>
      </w:r>
      <w:proofErr w:type="spellStart"/>
      <w:r>
        <w:rPr>
          <w:lang w:val="en-US"/>
        </w:rPr>
        <w:t>understading</w:t>
      </w:r>
      <w:proofErr w:type="spellEnd"/>
      <w:r>
        <w:rPr>
          <w:lang w:val="en-US"/>
        </w:rPr>
        <w:t xml:space="preserve"> of timing</w:t>
      </w:r>
    </w:p>
    <w:p w14:paraId="2F59D93A" w14:textId="75DC975E" w:rsidR="00463D88" w:rsidRDefault="00FD20B5" w:rsidP="00DD5B65">
      <w:pPr>
        <w:rPr>
          <w:rFonts w:ascii="Arial" w:hAnsi="Arial"/>
          <w:sz w:val="36"/>
        </w:rPr>
      </w:pPr>
      <w:r w:rsidRPr="00C75CEB">
        <w:rPr>
          <w:lang w:val="en-US"/>
        </w:rPr>
        <w:t xml:space="preserve">In this contribution we present </w:t>
      </w:r>
      <w:r w:rsidR="00DD5B65">
        <w:rPr>
          <w:lang w:val="en-US"/>
        </w:rPr>
        <w:t>our considerations on SMTC configuration and measurement gaps</w:t>
      </w:r>
      <w:r w:rsidR="00353232">
        <w:rPr>
          <w:lang w:val="en-US"/>
        </w:rPr>
        <w:t xml:space="preserve"> with focus on the impact of varying propagation delay in LEO scenarios</w:t>
      </w:r>
      <w:r w:rsidR="00DD5B65">
        <w:rPr>
          <w:lang w:val="en-US"/>
        </w:rPr>
        <w:t xml:space="preserve">.  </w:t>
      </w:r>
      <w:r w:rsidR="0086612C">
        <w:rPr>
          <w:lang w:val="en-US"/>
        </w:rPr>
        <w:t>Furthermore, we also highlight an issue related reception power.</w:t>
      </w:r>
    </w:p>
    <w:p w14:paraId="7646F7D3" w14:textId="3291E622" w:rsidR="008C7AAE" w:rsidRPr="006D4D6A" w:rsidRDefault="00353232" w:rsidP="008C7AAE">
      <w:pPr>
        <w:pStyle w:val="Heading1"/>
        <w:numPr>
          <w:ilvl w:val="0"/>
          <w:numId w:val="14"/>
        </w:numPr>
        <w:ind w:left="851" w:hanging="851"/>
      </w:pPr>
      <w:r>
        <w:t>SMTC configuration</w:t>
      </w:r>
      <w:r w:rsidR="0089195F">
        <w:t xml:space="preserve"> and measurement gaps</w:t>
      </w:r>
    </w:p>
    <w:p w14:paraId="4691EC49" w14:textId="24ACBB9E" w:rsidR="00353232" w:rsidRDefault="00353232" w:rsidP="00353232">
      <w:pPr>
        <w:rPr>
          <w:lang w:val="en-US"/>
        </w:rPr>
      </w:pPr>
      <w:r w:rsidRPr="00353232">
        <w:rPr>
          <w:lang w:val="en-US"/>
        </w:rPr>
        <w:t xml:space="preserve">The </w:t>
      </w:r>
      <w:r>
        <w:rPr>
          <w:lang w:val="en-US"/>
        </w:rPr>
        <w:t>SSB measurement timing configuration (SMTC) is used to define how a UE performs SSB-based measurements. According to TS 38.331</w:t>
      </w:r>
      <w:r>
        <w:rPr>
          <w:lang w:val="en-US"/>
        </w:rPr>
        <w:fldChar w:fldCharType="begin"/>
      </w:r>
      <w:r>
        <w:rPr>
          <w:lang w:val="en-US"/>
        </w:rPr>
        <w:instrText xml:space="preserve"> REF _Ref66866738 \r \h </w:instrText>
      </w:r>
      <w:r>
        <w:rPr>
          <w:lang w:val="en-US"/>
        </w:rPr>
      </w:r>
      <w:r>
        <w:rPr>
          <w:lang w:val="en-US"/>
        </w:rPr>
        <w:fldChar w:fldCharType="separate"/>
      </w:r>
      <w:r w:rsidR="00C902BA">
        <w:rPr>
          <w:lang w:val="en-US"/>
        </w:rPr>
        <w:t>[5]</w:t>
      </w:r>
      <w:r>
        <w:rPr>
          <w:lang w:val="en-US"/>
        </w:rPr>
        <w:fldChar w:fldCharType="end"/>
      </w:r>
      <w:r>
        <w:rPr>
          <w:lang w:val="en-US"/>
        </w:rPr>
        <w:t xml:space="preserve"> the SMTC window duration is 1, 2, 3, 4, or 5 subframes, while the periodicity of the window is 5, 10, 20, 40, 80, 160 subframes. For normal operation the UE may have 2 SMTCs configured</w:t>
      </w:r>
      <w:r w:rsidR="0089195F">
        <w:rPr>
          <w:lang w:val="en-US"/>
        </w:rPr>
        <w:t xml:space="preserve">. </w:t>
      </w:r>
    </w:p>
    <w:p w14:paraId="0473AD5E" w14:textId="74B1CA60" w:rsidR="00DA5139" w:rsidRDefault="0089195F" w:rsidP="00353232">
      <w:pPr>
        <w:rPr>
          <w:lang w:val="en-US"/>
        </w:rPr>
      </w:pPr>
      <w:r>
        <w:rPr>
          <w:lang w:val="en-US"/>
        </w:rPr>
        <w:t xml:space="preserve">The SMTC configuration may be associated with a measurement gap, depending on UE capabilities, see TS 38.133 </w:t>
      </w:r>
      <w:r w:rsidR="00353232">
        <w:rPr>
          <w:lang w:val="en-US"/>
        </w:rPr>
        <w:fldChar w:fldCharType="begin"/>
      </w:r>
      <w:r w:rsidR="00353232">
        <w:rPr>
          <w:lang w:val="en-US"/>
        </w:rPr>
        <w:instrText xml:space="preserve"> REF _Ref66866659 \r \h </w:instrText>
      </w:r>
      <w:r w:rsidR="00353232">
        <w:rPr>
          <w:lang w:val="en-US"/>
        </w:rPr>
      </w:r>
      <w:r w:rsidR="00353232">
        <w:rPr>
          <w:lang w:val="en-US"/>
        </w:rPr>
        <w:fldChar w:fldCharType="separate"/>
      </w:r>
      <w:r w:rsidR="00C902BA">
        <w:rPr>
          <w:lang w:val="en-US"/>
        </w:rPr>
        <w:t>[6]</w:t>
      </w:r>
      <w:r w:rsidR="00353232">
        <w:rPr>
          <w:lang w:val="en-US"/>
        </w:rPr>
        <w:fldChar w:fldCharType="end"/>
      </w:r>
      <w:r>
        <w:rPr>
          <w:lang w:val="en-US"/>
        </w:rPr>
        <w:t xml:space="preserve">. The measurement gap length is 1.5 </w:t>
      </w:r>
      <w:proofErr w:type="spellStart"/>
      <w:r>
        <w:rPr>
          <w:lang w:val="en-US"/>
        </w:rPr>
        <w:t>ms</w:t>
      </w:r>
      <w:proofErr w:type="spellEnd"/>
      <w:r>
        <w:rPr>
          <w:lang w:val="en-US"/>
        </w:rPr>
        <w:t xml:space="preserve"> to 6 </w:t>
      </w:r>
      <w:proofErr w:type="spellStart"/>
      <w:r>
        <w:rPr>
          <w:lang w:val="en-US"/>
        </w:rPr>
        <w:t>ms</w:t>
      </w:r>
      <w:proofErr w:type="spellEnd"/>
      <w:r>
        <w:rPr>
          <w:lang w:val="en-US"/>
        </w:rPr>
        <w:t xml:space="preserve">, with two extended options of 10 </w:t>
      </w:r>
      <w:proofErr w:type="spellStart"/>
      <w:r>
        <w:rPr>
          <w:lang w:val="en-US"/>
        </w:rPr>
        <w:t>ms</w:t>
      </w:r>
      <w:proofErr w:type="spellEnd"/>
      <w:r>
        <w:rPr>
          <w:lang w:val="en-US"/>
        </w:rPr>
        <w:t xml:space="preserve"> and 20 </w:t>
      </w:r>
      <w:proofErr w:type="spellStart"/>
      <w:r>
        <w:rPr>
          <w:lang w:val="en-US"/>
        </w:rPr>
        <w:t>ms.</w:t>
      </w:r>
      <w:proofErr w:type="spellEnd"/>
      <w:r>
        <w:rPr>
          <w:lang w:val="en-US"/>
        </w:rPr>
        <w:t xml:space="preserve"> The periodicity of gap is 20 </w:t>
      </w:r>
      <w:proofErr w:type="spellStart"/>
      <w:r>
        <w:rPr>
          <w:lang w:val="en-US"/>
        </w:rPr>
        <w:t>ms</w:t>
      </w:r>
      <w:proofErr w:type="spellEnd"/>
      <w:r>
        <w:rPr>
          <w:lang w:val="en-US"/>
        </w:rPr>
        <w:t xml:space="preserve"> to 160 </w:t>
      </w:r>
      <w:proofErr w:type="spellStart"/>
      <w:r>
        <w:rPr>
          <w:lang w:val="en-US"/>
        </w:rPr>
        <w:t>ms</w:t>
      </w:r>
      <w:proofErr w:type="spellEnd"/>
      <w:r>
        <w:rPr>
          <w:lang w:val="en-US"/>
        </w:rPr>
        <w:t xml:space="preserve"> </w:t>
      </w:r>
      <w:r>
        <w:rPr>
          <w:lang w:val="en-US"/>
        </w:rPr>
        <w:fldChar w:fldCharType="begin"/>
      </w:r>
      <w:r>
        <w:rPr>
          <w:lang w:val="en-US"/>
        </w:rPr>
        <w:instrText xml:space="preserve"> REF _Ref66866659 \r \h </w:instrText>
      </w:r>
      <w:r>
        <w:rPr>
          <w:lang w:val="en-US"/>
        </w:rPr>
      </w:r>
      <w:r>
        <w:rPr>
          <w:lang w:val="en-US"/>
        </w:rPr>
        <w:fldChar w:fldCharType="separate"/>
      </w:r>
      <w:r w:rsidR="00C902BA">
        <w:rPr>
          <w:lang w:val="en-US"/>
        </w:rPr>
        <w:t>[6]</w:t>
      </w:r>
      <w:r>
        <w:rPr>
          <w:lang w:val="en-US"/>
        </w:rPr>
        <w:fldChar w:fldCharType="end"/>
      </w:r>
      <w:r>
        <w:rPr>
          <w:lang w:val="en-US"/>
        </w:rPr>
        <w:t xml:space="preserve">. If the UE is configured with a measurement gap the UE is not required to receive/transmit from/to a NR cell during the gap, besides reception of signals for RRM measurements and random access. </w:t>
      </w:r>
    </w:p>
    <w:p w14:paraId="5F2A42DA" w14:textId="68416366" w:rsidR="0089195F" w:rsidRDefault="0089195F" w:rsidP="00353232">
      <w:pPr>
        <w:rPr>
          <w:lang w:val="en-US"/>
        </w:rPr>
      </w:pPr>
      <w:r>
        <w:rPr>
          <w:lang w:val="en-US"/>
        </w:rPr>
        <w:t xml:space="preserve">Such configurations work well for terrestrial networks where the relative timing of SSBs from serving and neighbor cells are fixed and where the propagation delay only varies due to the UE movement. </w:t>
      </w:r>
    </w:p>
    <w:p w14:paraId="2F8F27FB" w14:textId="7EE85F01" w:rsidR="00334D5F" w:rsidRPr="00334D5F" w:rsidRDefault="00334D5F" w:rsidP="00334D5F">
      <w:pPr>
        <w:pStyle w:val="Heading1"/>
        <w:numPr>
          <w:ilvl w:val="0"/>
          <w:numId w:val="14"/>
        </w:numPr>
        <w:ind w:left="851" w:hanging="851"/>
      </w:pPr>
      <w:r w:rsidRPr="00334D5F">
        <w:t>Measurements in a LEO scenario</w:t>
      </w:r>
    </w:p>
    <w:p w14:paraId="3391B2A2" w14:textId="17991A11" w:rsidR="00334D5F" w:rsidRDefault="00334D5F" w:rsidP="00353232">
      <w:pPr>
        <w:rPr>
          <w:lang w:val="en-US"/>
        </w:rPr>
      </w:pPr>
      <w:r>
        <w:rPr>
          <w:lang w:val="en-US"/>
        </w:rPr>
        <w:t xml:space="preserve">In low-earth orbit (LEO) scenarios the propagation delay between UE and serving cell varies over time, because the satellite, which in transparent scenarios </w:t>
      </w:r>
      <w:proofErr w:type="spellStart"/>
      <w:r>
        <w:rPr>
          <w:lang w:val="en-US"/>
        </w:rPr>
        <w:t>amplies</w:t>
      </w:r>
      <w:proofErr w:type="spellEnd"/>
      <w:r>
        <w:rPr>
          <w:lang w:val="en-US"/>
        </w:rPr>
        <w:t xml:space="preserve"> and forwards the radio signals, moves. The variation depends on the distance between UE and satellite (service link) and the distance between satellite and NTN gateway (feeder link). In </w:t>
      </w:r>
      <w:r>
        <w:rPr>
          <w:lang w:val="en-US"/>
        </w:rPr>
        <w:lastRenderedPageBreak/>
        <w:t>addition, the propagation delay between UE and neighbor cells on other satellite</w:t>
      </w:r>
      <w:r w:rsidR="005654FA">
        <w:rPr>
          <w:lang w:val="en-US"/>
        </w:rPr>
        <w:t>(</w:t>
      </w:r>
      <w:r>
        <w:rPr>
          <w:lang w:val="en-US"/>
        </w:rPr>
        <w:t>s</w:t>
      </w:r>
      <w:r w:rsidR="005654FA">
        <w:rPr>
          <w:lang w:val="en-US"/>
        </w:rPr>
        <w:t>)</w:t>
      </w:r>
      <w:r>
        <w:rPr>
          <w:lang w:val="en-US"/>
        </w:rPr>
        <w:t xml:space="preserve"> will vary in a different manner</w:t>
      </w:r>
      <w:r w:rsidR="005654FA">
        <w:rPr>
          <w:lang w:val="en-US"/>
        </w:rPr>
        <w:t>, because of the different location of the other satellite(s)</w:t>
      </w:r>
      <w:r w:rsidR="00F2250D">
        <w:rPr>
          <w:lang w:val="en-US"/>
        </w:rPr>
        <w:t xml:space="preserve"> compared to the satellite of the serving cell</w:t>
      </w:r>
      <w:r>
        <w:rPr>
          <w:lang w:val="en-US"/>
        </w:rPr>
        <w:t>.</w:t>
      </w:r>
    </w:p>
    <w:p w14:paraId="6789B459" w14:textId="79E458F0" w:rsidR="00A26DB1" w:rsidRDefault="00A26DB1" w:rsidP="00353232">
      <w:pPr>
        <w:rPr>
          <w:lang w:val="en-US"/>
        </w:rPr>
      </w:pPr>
      <w:r>
        <w:rPr>
          <w:lang w:val="en-US"/>
        </w:rPr>
        <w:fldChar w:fldCharType="begin"/>
      </w:r>
      <w:r>
        <w:rPr>
          <w:lang w:val="en-US"/>
        </w:rPr>
        <w:instrText xml:space="preserve"> REF _Ref59024781 \h </w:instrText>
      </w:r>
      <w:r>
        <w:rPr>
          <w:lang w:val="en-US"/>
        </w:rPr>
      </w:r>
      <w:r>
        <w:rPr>
          <w:lang w:val="en-US"/>
        </w:rPr>
        <w:fldChar w:fldCharType="separate"/>
      </w:r>
      <w:r w:rsidR="00C902BA">
        <w:t xml:space="preserve">Figure </w:t>
      </w:r>
      <w:r w:rsidR="00C902BA">
        <w:rPr>
          <w:noProof/>
        </w:rPr>
        <w:t>1</w:t>
      </w:r>
      <w:r>
        <w:rPr>
          <w:lang w:val="en-US"/>
        </w:rPr>
        <w:fldChar w:fldCharType="end"/>
      </w:r>
      <w:r>
        <w:rPr>
          <w:lang w:val="en-US"/>
        </w:rPr>
        <w:t xml:space="preserve"> provides an illustration of a LEO scenario</w:t>
      </w:r>
      <w:r w:rsidR="00E12DEF">
        <w:rPr>
          <w:lang w:val="en-US"/>
        </w:rPr>
        <w:t xml:space="preserve"> </w:t>
      </w:r>
      <w:r w:rsidR="00E12DEF">
        <w:rPr>
          <w:lang w:val="en-US"/>
        </w:rPr>
        <w:fldChar w:fldCharType="begin"/>
      </w:r>
      <w:r w:rsidR="00E12DEF">
        <w:rPr>
          <w:lang w:val="en-US"/>
        </w:rPr>
        <w:instrText xml:space="preserve"> REF _Ref66873895 \r \h </w:instrText>
      </w:r>
      <w:r w:rsidR="00E12DEF">
        <w:rPr>
          <w:lang w:val="en-US"/>
        </w:rPr>
      </w:r>
      <w:r w:rsidR="00E12DEF">
        <w:rPr>
          <w:lang w:val="en-US"/>
        </w:rPr>
        <w:fldChar w:fldCharType="separate"/>
      </w:r>
      <w:r w:rsidR="00C902BA">
        <w:rPr>
          <w:lang w:val="en-US"/>
        </w:rPr>
        <w:t>[7]</w:t>
      </w:r>
      <w:r w:rsidR="00E12DEF">
        <w:rPr>
          <w:lang w:val="en-US"/>
        </w:rPr>
        <w:fldChar w:fldCharType="end"/>
      </w:r>
      <w:r>
        <w:rPr>
          <w:lang w:val="en-US"/>
        </w:rPr>
        <w:t>. Consider that SAT1 is providing the serving cell to the UE via NTN-GW1, while SAT2 provides a target neighbor cell via NTN-GW2. The satellites are moving east-west and thus both approaching their respective NTN-GWs, while SAT1 is moving away from the UE and SAT2 is approaching the UE. The satellites movement and the relative location</w:t>
      </w:r>
      <w:r w:rsidR="000C7655">
        <w:rPr>
          <w:lang w:val="en-US"/>
        </w:rPr>
        <w:t xml:space="preserve"> </w:t>
      </w:r>
      <w:r>
        <w:rPr>
          <w:lang w:val="en-US"/>
        </w:rPr>
        <w:t xml:space="preserve">of the NTN-GWs resulting in the propagation delays varying as a function of time. </w:t>
      </w:r>
    </w:p>
    <w:p w14:paraId="2BCA281B" w14:textId="77777777" w:rsidR="00A26DB1" w:rsidRDefault="00A26DB1" w:rsidP="00A26DB1">
      <w:pPr>
        <w:keepNext/>
        <w:jc w:val="center"/>
      </w:pPr>
      <w:r>
        <w:rPr>
          <w:noProof/>
        </w:rPr>
        <w:drawing>
          <wp:inline distT="0" distB="0" distL="0" distR="0" wp14:anchorId="6A26BAE2" wp14:editId="6ADC51A8">
            <wp:extent cx="4964904" cy="170376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64904" cy="1703765"/>
                    </a:xfrm>
                    <a:prstGeom prst="rect">
                      <a:avLst/>
                    </a:prstGeom>
                  </pic:spPr>
                </pic:pic>
              </a:graphicData>
            </a:graphic>
          </wp:inline>
        </w:drawing>
      </w:r>
    </w:p>
    <w:p w14:paraId="0571646F" w14:textId="1A4262F0" w:rsidR="00A26DB1" w:rsidRDefault="00A26DB1" w:rsidP="00A26DB1">
      <w:pPr>
        <w:pStyle w:val="Caption"/>
        <w:jc w:val="center"/>
      </w:pPr>
      <w:bookmarkStart w:id="2" w:name="_Ref59024781"/>
      <w:r>
        <w:t xml:space="preserve">Figure </w:t>
      </w:r>
      <w:r>
        <w:fldChar w:fldCharType="begin"/>
      </w:r>
      <w:r>
        <w:instrText xml:space="preserve"> SEQ Figure \* ARABIC </w:instrText>
      </w:r>
      <w:r>
        <w:fldChar w:fldCharType="separate"/>
      </w:r>
      <w:r w:rsidR="00C902BA">
        <w:rPr>
          <w:noProof/>
        </w:rPr>
        <w:t>1</w:t>
      </w:r>
      <w:r>
        <w:rPr>
          <w:noProof/>
        </w:rPr>
        <w:fldChar w:fldCharType="end"/>
      </w:r>
      <w:bookmarkEnd w:id="2"/>
      <w:r>
        <w:t xml:space="preserve"> </w:t>
      </w:r>
      <w:r w:rsidR="00E12DEF">
        <w:t>Varying propagation delays in a LEO scenario with transparent satellites</w:t>
      </w:r>
      <w:r>
        <w:t>.</w:t>
      </w:r>
    </w:p>
    <w:p w14:paraId="68C3B22E" w14:textId="364AC823" w:rsidR="00827590" w:rsidRDefault="00906FD4" w:rsidP="00353232">
      <w:r>
        <w:fldChar w:fldCharType="begin"/>
      </w:r>
      <w:r>
        <w:instrText xml:space="preserve"> REF _Ref66873792 \h </w:instrText>
      </w:r>
      <w:r>
        <w:fldChar w:fldCharType="separate"/>
      </w:r>
      <w:r w:rsidR="00C902BA">
        <w:t xml:space="preserve">Table </w:t>
      </w:r>
      <w:r w:rsidR="00C902BA">
        <w:rPr>
          <w:noProof/>
        </w:rPr>
        <w:t>1</w:t>
      </w:r>
      <w:r>
        <w:fldChar w:fldCharType="end"/>
      </w:r>
      <w:r>
        <w:t xml:space="preserve"> provides some example numbers for the scenario in </w:t>
      </w:r>
      <w:r>
        <w:rPr>
          <w:lang w:val="en-US"/>
        </w:rPr>
        <w:fldChar w:fldCharType="begin"/>
      </w:r>
      <w:r>
        <w:rPr>
          <w:lang w:val="en-US"/>
        </w:rPr>
        <w:instrText xml:space="preserve"> REF _Ref59024781 \h </w:instrText>
      </w:r>
      <w:r>
        <w:rPr>
          <w:lang w:val="en-US"/>
        </w:rPr>
      </w:r>
      <w:r>
        <w:rPr>
          <w:lang w:val="en-US"/>
        </w:rPr>
        <w:fldChar w:fldCharType="separate"/>
      </w:r>
      <w:r w:rsidR="00C902BA">
        <w:t xml:space="preserve">Figure </w:t>
      </w:r>
      <w:r w:rsidR="00C902BA">
        <w:rPr>
          <w:noProof/>
        </w:rPr>
        <w:t>1</w:t>
      </w:r>
      <w:r>
        <w:rPr>
          <w:lang w:val="en-US"/>
        </w:rPr>
        <w:fldChar w:fldCharType="end"/>
      </w:r>
      <w:r>
        <w:rPr>
          <w:lang w:val="en-US"/>
        </w:rPr>
        <w:t xml:space="preserve"> assuming a satellite altitude of 600 km </w:t>
      </w:r>
      <w:r w:rsidR="00E12DEF">
        <w:rPr>
          <w:lang w:val="en-US"/>
        </w:rPr>
        <w:fldChar w:fldCharType="begin"/>
      </w:r>
      <w:r w:rsidR="00E12DEF">
        <w:rPr>
          <w:lang w:val="en-US"/>
        </w:rPr>
        <w:instrText xml:space="preserve"> REF _Ref66872129 \r \h </w:instrText>
      </w:r>
      <w:r w:rsidR="00E12DEF">
        <w:rPr>
          <w:lang w:val="en-US"/>
        </w:rPr>
      </w:r>
      <w:r w:rsidR="00E12DEF">
        <w:rPr>
          <w:lang w:val="en-US"/>
        </w:rPr>
        <w:fldChar w:fldCharType="separate"/>
      </w:r>
      <w:r w:rsidR="00C902BA">
        <w:rPr>
          <w:lang w:val="en-US"/>
        </w:rPr>
        <w:t>[2]</w:t>
      </w:r>
      <w:r w:rsidR="00E12DEF">
        <w:rPr>
          <w:lang w:val="en-US"/>
        </w:rPr>
        <w:fldChar w:fldCharType="end"/>
      </w:r>
      <w:r>
        <w:rPr>
          <w:lang w:val="en-US"/>
        </w:rPr>
        <w:t xml:space="preserve">. </w:t>
      </w:r>
    </w:p>
    <w:p w14:paraId="2F7AAAB7" w14:textId="4425C901" w:rsidR="00906FD4" w:rsidRDefault="00906FD4" w:rsidP="00906FD4">
      <w:pPr>
        <w:pStyle w:val="Caption"/>
        <w:keepNext/>
      </w:pPr>
      <w:bookmarkStart w:id="3" w:name="_Ref66873792"/>
      <w:r>
        <w:t xml:space="preserve">Table </w:t>
      </w:r>
      <w:r>
        <w:fldChar w:fldCharType="begin"/>
      </w:r>
      <w:r>
        <w:instrText xml:space="preserve"> SEQ Table \* ARABIC </w:instrText>
      </w:r>
      <w:r>
        <w:fldChar w:fldCharType="separate"/>
      </w:r>
      <w:r w:rsidR="00C902BA">
        <w:rPr>
          <w:noProof/>
        </w:rPr>
        <w:t>1</w:t>
      </w:r>
      <w:r>
        <w:rPr>
          <w:noProof/>
        </w:rPr>
        <w:fldChar w:fldCharType="end"/>
      </w:r>
      <w:bookmarkEnd w:id="3"/>
      <w:r>
        <w:t xml:space="preserve"> </w:t>
      </w:r>
      <w:r w:rsidR="00E12DEF">
        <w:t xml:space="preserve">Potential </w:t>
      </w:r>
      <w:proofErr w:type="spellStart"/>
      <w:r>
        <w:t>ropagation</w:t>
      </w:r>
      <w:proofErr w:type="spellEnd"/>
      <w:r>
        <w:t xml:space="preserve"> delay variations </w:t>
      </w:r>
      <w:r w:rsidR="00E12DEF">
        <w:t xml:space="preserve">in the LEO scenario of </w:t>
      </w:r>
      <w:r w:rsidR="00E12DEF">
        <w:rPr>
          <w:lang w:val="en-US"/>
        </w:rPr>
        <w:fldChar w:fldCharType="begin"/>
      </w:r>
      <w:r w:rsidR="00E12DEF">
        <w:rPr>
          <w:lang w:val="en-US"/>
        </w:rPr>
        <w:instrText xml:space="preserve"> REF _Ref59024781 \h </w:instrText>
      </w:r>
      <w:r w:rsidR="00E12DEF">
        <w:rPr>
          <w:lang w:val="en-US"/>
        </w:rPr>
      </w:r>
      <w:r w:rsidR="00E12DEF">
        <w:rPr>
          <w:lang w:val="en-US"/>
        </w:rPr>
        <w:fldChar w:fldCharType="separate"/>
      </w:r>
      <w:r w:rsidR="00C902BA">
        <w:t xml:space="preserve">Figure </w:t>
      </w:r>
      <w:r w:rsidR="00C902BA">
        <w:rPr>
          <w:noProof/>
        </w:rPr>
        <w:t>1</w:t>
      </w:r>
      <w:r w:rsidR="00E12DEF">
        <w:rPr>
          <w:lang w:val="en-US"/>
        </w:rPr>
        <w:fldChar w:fldCharType="end"/>
      </w:r>
      <w:r>
        <w:t>.</w:t>
      </w:r>
    </w:p>
    <w:tbl>
      <w:tblPr>
        <w:tblStyle w:val="TableGrid"/>
        <w:tblW w:w="0" w:type="auto"/>
        <w:tblLook w:val="04A0" w:firstRow="1" w:lastRow="0" w:firstColumn="1" w:lastColumn="0" w:noHBand="0" w:noVBand="1"/>
      </w:tblPr>
      <w:tblGrid>
        <w:gridCol w:w="704"/>
        <w:gridCol w:w="739"/>
        <w:gridCol w:w="805"/>
        <w:gridCol w:w="1770"/>
        <w:gridCol w:w="1376"/>
        <w:gridCol w:w="1745"/>
        <w:gridCol w:w="2154"/>
      </w:tblGrid>
      <w:tr w:rsidR="00906FD4" w14:paraId="69C79571" w14:textId="77777777" w:rsidTr="00906FD4">
        <w:tc>
          <w:tcPr>
            <w:tcW w:w="704" w:type="dxa"/>
            <w:vMerge w:val="restart"/>
          </w:tcPr>
          <w:p w14:paraId="0FF40241" w14:textId="77777777" w:rsidR="00906FD4" w:rsidRDefault="00906FD4" w:rsidP="00FB65FC"/>
        </w:tc>
        <w:tc>
          <w:tcPr>
            <w:tcW w:w="739" w:type="dxa"/>
          </w:tcPr>
          <w:p w14:paraId="1F072DF0" w14:textId="77777777" w:rsidR="00906FD4" w:rsidRDefault="00906FD4" w:rsidP="00FB65FC"/>
        </w:tc>
        <w:tc>
          <w:tcPr>
            <w:tcW w:w="2575" w:type="dxa"/>
            <w:gridSpan w:val="2"/>
          </w:tcPr>
          <w:p w14:paraId="717A1E1C" w14:textId="77777777" w:rsidR="00906FD4" w:rsidRPr="00950C6B" w:rsidRDefault="00906FD4" w:rsidP="00FB65FC">
            <w:pPr>
              <w:rPr>
                <w:lang w:val="da-DK"/>
              </w:rPr>
            </w:pPr>
            <w:r>
              <w:t>UE</w:t>
            </w:r>
          </w:p>
        </w:tc>
        <w:tc>
          <w:tcPr>
            <w:tcW w:w="3121" w:type="dxa"/>
            <w:gridSpan w:val="2"/>
          </w:tcPr>
          <w:p w14:paraId="74E214C6" w14:textId="77777777" w:rsidR="00906FD4" w:rsidRPr="00950C6B" w:rsidRDefault="00906FD4" w:rsidP="00FB65FC">
            <w:pPr>
              <w:rPr>
                <w:lang w:val="da-DK"/>
              </w:rPr>
            </w:pPr>
            <w:r w:rsidRPr="003049FC">
              <w:rPr>
                <w:lang w:val="da-DK"/>
              </w:rPr>
              <w:t>NTN-GW (GW1 for SA</w:t>
            </w:r>
            <w:r>
              <w:rPr>
                <w:lang w:val="da-DK"/>
              </w:rPr>
              <w:t>T1, GW2 for SAT2)</w:t>
            </w:r>
          </w:p>
        </w:tc>
        <w:tc>
          <w:tcPr>
            <w:tcW w:w="2154" w:type="dxa"/>
          </w:tcPr>
          <w:p w14:paraId="2043F2D5" w14:textId="77777777" w:rsidR="00906FD4" w:rsidRDefault="00906FD4" w:rsidP="00FB65FC">
            <w:r>
              <w:t>Joint GW-SAT-UE delay</w:t>
            </w:r>
          </w:p>
        </w:tc>
      </w:tr>
      <w:tr w:rsidR="00906FD4" w14:paraId="661D4C10" w14:textId="77777777" w:rsidTr="00906FD4">
        <w:tc>
          <w:tcPr>
            <w:tcW w:w="704" w:type="dxa"/>
            <w:vMerge/>
          </w:tcPr>
          <w:p w14:paraId="28BCF581" w14:textId="77777777" w:rsidR="00906FD4" w:rsidRDefault="00906FD4" w:rsidP="00FB65FC"/>
        </w:tc>
        <w:tc>
          <w:tcPr>
            <w:tcW w:w="739" w:type="dxa"/>
          </w:tcPr>
          <w:p w14:paraId="74232D74" w14:textId="77777777" w:rsidR="00906FD4" w:rsidRDefault="00906FD4" w:rsidP="00FB65FC">
            <w:r>
              <w:t>Time</w:t>
            </w:r>
          </w:p>
        </w:tc>
        <w:tc>
          <w:tcPr>
            <w:tcW w:w="805" w:type="dxa"/>
          </w:tcPr>
          <w:p w14:paraId="0493A1F2" w14:textId="77777777" w:rsidR="00906FD4" w:rsidRDefault="00906FD4" w:rsidP="00FB65FC">
            <w:r>
              <w:t>Angle</w:t>
            </w:r>
          </w:p>
        </w:tc>
        <w:tc>
          <w:tcPr>
            <w:tcW w:w="1766" w:type="dxa"/>
          </w:tcPr>
          <w:p w14:paraId="2EB87C7C" w14:textId="77777777" w:rsidR="00906FD4" w:rsidRDefault="00906FD4" w:rsidP="00FB65FC">
            <w:r>
              <w:t>Propagation delay</w:t>
            </w:r>
          </w:p>
        </w:tc>
        <w:tc>
          <w:tcPr>
            <w:tcW w:w="1376" w:type="dxa"/>
          </w:tcPr>
          <w:p w14:paraId="768C6408" w14:textId="77777777" w:rsidR="00906FD4" w:rsidRDefault="00906FD4" w:rsidP="00FB65FC">
            <w:r>
              <w:t>Angle</w:t>
            </w:r>
          </w:p>
        </w:tc>
        <w:tc>
          <w:tcPr>
            <w:tcW w:w="1745" w:type="dxa"/>
          </w:tcPr>
          <w:p w14:paraId="02E66F96" w14:textId="77777777" w:rsidR="00906FD4" w:rsidRDefault="00906FD4" w:rsidP="00FB65FC">
            <w:r>
              <w:t>Propagation delay</w:t>
            </w:r>
          </w:p>
        </w:tc>
        <w:tc>
          <w:tcPr>
            <w:tcW w:w="2154" w:type="dxa"/>
          </w:tcPr>
          <w:p w14:paraId="5D537787" w14:textId="77777777" w:rsidR="00906FD4" w:rsidRDefault="00906FD4" w:rsidP="00FB65FC"/>
        </w:tc>
      </w:tr>
      <w:tr w:rsidR="00906FD4" w14:paraId="2EBD4943" w14:textId="77777777" w:rsidTr="00906FD4">
        <w:tc>
          <w:tcPr>
            <w:tcW w:w="704" w:type="dxa"/>
            <w:vMerge w:val="restart"/>
          </w:tcPr>
          <w:p w14:paraId="0CFBE060" w14:textId="77777777" w:rsidR="00906FD4" w:rsidRDefault="00906FD4" w:rsidP="00FB65FC">
            <w:r>
              <w:t>SAT1</w:t>
            </w:r>
          </w:p>
        </w:tc>
        <w:tc>
          <w:tcPr>
            <w:tcW w:w="739" w:type="dxa"/>
          </w:tcPr>
          <w:p w14:paraId="35DB7F31" w14:textId="77777777" w:rsidR="00906FD4" w:rsidRDefault="00906FD4" w:rsidP="00FB65FC">
            <w:r w:rsidRPr="00F936A2">
              <w:rPr>
                <w:lang w:val="en-US"/>
              </w:rPr>
              <w:t>T1</w:t>
            </w:r>
          </w:p>
        </w:tc>
        <w:tc>
          <w:tcPr>
            <w:tcW w:w="805" w:type="dxa"/>
          </w:tcPr>
          <w:p w14:paraId="40AB5D1B" w14:textId="77777777" w:rsidR="00906FD4" w:rsidRDefault="00906FD4" w:rsidP="00FB65FC">
            <w:r w:rsidRPr="00F936A2">
              <w:rPr>
                <w:lang w:val="en-US"/>
              </w:rPr>
              <w:t>30</w:t>
            </w:r>
            <w:r w:rsidRPr="003049FC">
              <w:rPr>
                <w:vertAlign w:val="superscript"/>
                <w:lang w:val="en-US"/>
              </w:rPr>
              <w:t xml:space="preserve"> o</w:t>
            </w:r>
          </w:p>
        </w:tc>
        <w:tc>
          <w:tcPr>
            <w:tcW w:w="1766" w:type="dxa"/>
          </w:tcPr>
          <w:p w14:paraId="091FBAA4" w14:textId="77777777" w:rsidR="00906FD4" w:rsidRDefault="00906FD4" w:rsidP="00FB65FC">
            <w:r w:rsidRPr="00F936A2">
              <w:rPr>
                <w:lang w:val="en-US"/>
              </w:rPr>
              <w:t xml:space="preserve">4 </w:t>
            </w:r>
            <w:proofErr w:type="spellStart"/>
            <w:r w:rsidRPr="00F936A2">
              <w:rPr>
                <w:lang w:val="en-US"/>
              </w:rPr>
              <w:t>ms</w:t>
            </w:r>
            <w:proofErr w:type="spellEnd"/>
          </w:p>
        </w:tc>
        <w:tc>
          <w:tcPr>
            <w:tcW w:w="1376" w:type="dxa"/>
          </w:tcPr>
          <w:p w14:paraId="2147D349" w14:textId="77777777" w:rsidR="00906FD4" w:rsidRDefault="00906FD4" w:rsidP="00FB65FC">
            <w:r w:rsidRPr="00F936A2">
              <w:rPr>
                <w:lang w:val="en-US"/>
              </w:rPr>
              <w:t>10</w:t>
            </w:r>
            <w:r w:rsidRPr="003049FC">
              <w:rPr>
                <w:vertAlign w:val="superscript"/>
                <w:lang w:val="en-US"/>
              </w:rPr>
              <w:t xml:space="preserve"> o</w:t>
            </w:r>
          </w:p>
        </w:tc>
        <w:tc>
          <w:tcPr>
            <w:tcW w:w="1745" w:type="dxa"/>
          </w:tcPr>
          <w:p w14:paraId="5B8169B7" w14:textId="77777777" w:rsidR="00906FD4" w:rsidRDefault="00906FD4" w:rsidP="00FB65FC">
            <w:r w:rsidRPr="00F936A2">
              <w:rPr>
                <w:lang w:val="en-US"/>
              </w:rPr>
              <w:t xml:space="preserve">6.4 </w:t>
            </w:r>
            <w:proofErr w:type="spellStart"/>
            <w:r w:rsidRPr="00F936A2">
              <w:rPr>
                <w:lang w:val="en-US"/>
              </w:rPr>
              <w:t>ms</w:t>
            </w:r>
            <w:proofErr w:type="spellEnd"/>
          </w:p>
        </w:tc>
        <w:tc>
          <w:tcPr>
            <w:tcW w:w="2154" w:type="dxa"/>
          </w:tcPr>
          <w:p w14:paraId="0EC1754A" w14:textId="77777777" w:rsidR="00906FD4" w:rsidRDefault="00906FD4" w:rsidP="00FB65FC">
            <w:r w:rsidRPr="00F936A2">
              <w:rPr>
                <w:lang w:val="en-US"/>
              </w:rPr>
              <w:t xml:space="preserve">10.4 </w:t>
            </w:r>
            <w:proofErr w:type="spellStart"/>
            <w:r w:rsidRPr="00F936A2">
              <w:rPr>
                <w:lang w:val="en-US"/>
              </w:rPr>
              <w:t>ms</w:t>
            </w:r>
            <w:proofErr w:type="spellEnd"/>
          </w:p>
        </w:tc>
      </w:tr>
      <w:tr w:rsidR="00906FD4" w14:paraId="140C7ABB" w14:textId="77777777" w:rsidTr="00906FD4">
        <w:tc>
          <w:tcPr>
            <w:tcW w:w="704" w:type="dxa"/>
            <w:vMerge/>
          </w:tcPr>
          <w:p w14:paraId="2EB05DB7" w14:textId="77777777" w:rsidR="00906FD4" w:rsidRDefault="00906FD4" w:rsidP="00FB65FC"/>
        </w:tc>
        <w:tc>
          <w:tcPr>
            <w:tcW w:w="739" w:type="dxa"/>
          </w:tcPr>
          <w:p w14:paraId="3F080F2C" w14:textId="77777777" w:rsidR="00906FD4" w:rsidRDefault="00906FD4" w:rsidP="00FB65FC">
            <w:r w:rsidRPr="00F936A2">
              <w:rPr>
                <w:lang w:val="en-US"/>
              </w:rPr>
              <w:t>T2</w:t>
            </w:r>
          </w:p>
        </w:tc>
        <w:tc>
          <w:tcPr>
            <w:tcW w:w="805" w:type="dxa"/>
          </w:tcPr>
          <w:p w14:paraId="333ACEB8" w14:textId="77777777" w:rsidR="00906FD4" w:rsidRDefault="00906FD4" w:rsidP="00FB65FC">
            <w:r w:rsidRPr="00F936A2">
              <w:rPr>
                <w:lang w:val="en-US"/>
              </w:rPr>
              <w:t>10</w:t>
            </w:r>
            <w:r w:rsidRPr="003049FC">
              <w:rPr>
                <w:vertAlign w:val="superscript"/>
                <w:lang w:val="en-US"/>
              </w:rPr>
              <w:t xml:space="preserve"> o</w:t>
            </w:r>
          </w:p>
        </w:tc>
        <w:tc>
          <w:tcPr>
            <w:tcW w:w="1766" w:type="dxa"/>
          </w:tcPr>
          <w:p w14:paraId="72194A79" w14:textId="77777777" w:rsidR="00906FD4" w:rsidRDefault="00906FD4" w:rsidP="00FB65FC">
            <w:r w:rsidRPr="00F936A2">
              <w:rPr>
                <w:lang w:val="en-US"/>
              </w:rPr>
              <w:t xml:space="preserve">6.4 </w:t>
            </w:r>
            <w:proofErr w:type="spellStart"/>
            <w:r w:rsidRPr="00F936A2">
              <w:rPr>
                <w:lang w:val="en-US"/>
              </w:rPr>
              <w:t>ms</w:t>
            </w:r>
            <w:proofErr w:type="spellEnd"/>
          </w:p>
        </w:tc>
        <w:tc>
          <w:tcPr>
            <w:tcW w:w="1376" w:type="dxa"/>
          </w:tcPr>
          <w:p w14:paraId="4F4AF7CC" w14:textId="77777777" w:rsidR="00906FD4" w:rsidRDefault="00906FD4" w:rsidP="00FB65FC">
            <w:r w:rsidRPr="00F936A2">
              <w:rPr>
                <w:lang w:val="en-US"/>
              </w:rPr>
              <w:t>30</w:t>
            </w:r>
            <w:r w:rsidRPr="003049FC">
              <w:rPr>
                <w:vertAlign w:val="superscript"/>
                <w:lang w:val="en-US"/>
              </w:rPr>
              <w:t xml:space="preserve"> o</w:t>
            </w:r>
          </w:p>
        </w:tc>
        <w:tc>
          <w:tcPr>
            <w:tcW w:w="1745" w:type="dxa"/>
          </w:tcPr>
          <w:p w14:paraId="0A11200F" w14:textId="77777777" w:rsidR="00906FD4" w:rsidRDefault="00906FD4" w:rsidP="00FB65FC">
            <w:r w:rsidRPr="00F936A2">
              <w:rPr>
                <w:lang w:val="en-US"/>
              </w:rPr>
              <w:t xml:space="preserve">4 </w:t>
            </w:r>
            <w:proofErr w:type="spellStart"/>
            <w:r w:rsidRPr="00F936A2">
              <w:rPr>
                <w:lang w:val="en-US"/>
              </w:rPr>
              <w:t>ms</w:t>
            </w:r>
            <w:proofErr w:type="spellEnd"/>
          </w:p>
        </w:tc>
        <w:tc>
          <w:tcPr>
            <w:tcW w:w="2154" w:type="dxa"/>
          </w:tcPr>
          <w:p w14:paraId="4E0795D9" w14:textId="77777777" w:rsidR="00906FD4" w:rsidRDefault="00906FD4" w:rsidP="00FB65FC">
            <w:r w:rsidRPr="00F936A2">
              <w:rPr>
                <w:lang w:val="en-US"/>
              </w:rPr>
              <w:t xml:space="preserve">10.4 </w:t>
            </w:r>
            <w:proofErr w:type="spellStart"/>
            <w:r w:rsidRPr="00F936A2">
              <w:rPr>
                <w:lang w:val="en-US"/>
              </w:rPr>
              <w:t>ms</w:t>
            </w:r>
            <w:proofErr w:type="spellEnd"/>
          </w:p>
        </w:tc>
      </w:tr>
      <w:tr w:rsidR="00906FD4" w14:paraId="1506EFE2" w14:textId="77777777" w:rsidTr="00906FD4">
        <w:tc>
          <w:tcPr>
            <w:tcW w:w="704" w:type="dxa"/>
            <w:vMerge w:val="restart"/>
          </w:tcPr>
          <w:p w14:paraId="3DCD03B1" w14:textId="77777777" w:rsidR="00906FD4" w:rsidRDefault="00906FD4" w:rsidP="00FB65FC">
            <w:r>
              <w:t>SAT2</w:t>
            </w:r>
          </w:p>
        </w:tc>
        <w:tc>
          <w:tcPr>
            <w:tcW w:w="739" w:type="dxa"/>
          </w:tcPr>
          <w:p w14:paraId="7D137A22" w14:textId="77777777" w:rsidR="00906FD4" w:rsidRDefault="00906FD4" w:rsidP="00FB65FC">
            <w:r w:rsidRPr="00F936A2">
              <w:rPr>
                <w:lang w:val="en-US"/>
              </w:rPr>
              <w:t>T1</w:t>
            </w:r>
          </w:p>
        </w:tc>
        <w:tc>
          <w:tcPr>
            <w:tcW w:w="805" w:type="dxa"/>
          </w:tcPr>
          <w:p w14:paraId="6F416C93" w14:textId="77777777" w:rsidR="00906FD4" w:rsidRDefault="00906FD4" w:rsidP="00FB65FC">
            <w:r w:rsidRPr="00F936A2">
              <w:rPr>
                <w:lang w:val="en-US"/>
              </w:rPr>
              <w:t>30</w:t>
            </w:r>
            <w:r w:rsidRPr="003049FC">
              <w:rPr>
                <w:vertAlign w:val="superscript"/>
                <w:lang w:val="en-US"/>
              </w:rPr>
              <w:t xml:space="preserve"> o</w:t>
            </w:r>
          </w:p>
        </w:tc>
        <w:tc>
          <w:tcPr>
            <w:tcW w:w="1766" w:type="dxa"/>
          </w:tcPr>
          <w:p w14:paraId="3BEF37EB" w14:textId="77777777" w:rsidR="00906FD4" w:rsidRDefault="00906FD4" w:rsidP="00FB65FC">
            <w:r w:rsidRPr="00F936A2">
              <w:rPr>
                <w:lang w:val="en-US"/>
              </w:rPr>
              <w:t xml:space="preserve">4 </w:t>
            </w:r>
            <w:proofErr w:type="spellStart"/>
            <w:r w:rsidRPr="00F936A2">
              <w:rPr>
                <w:lang w:val="en-US"/>
              </w:rPr>
              <w:t>ms</w:t>
            </w:r>
            <w:proofErr w:type="spellEnd"/>
          </w:p>
        </w:tc>
        <w:tc>
          <w:tcPr>
            <w:tcW w:w="1376" w:type="dxa"/>
          </w:tcPr>
          <w:p w14:paraId="6340F73A" w14:textId="77777777" w:rsidR="00906FD4" w:rsidRDefault="00906FD4" w:rsidP="00FB65FC">
            <w:r w:rsidRPr="00F936A2">
              <w:rPr>
                <w:lang w:val="en-US"/>
              </w:rPr>
              <w:t>65</w:t>
            </w:r>
            <w:r w:rsidRPr="003049FC">
              <w:rPr>
                <w:vertAlign w:val="superscript"/>
                <w:lang w:val="en-US"/>
              </w:rPr>
              <w:t xml:space="preserve"> o</w:t>
            </w:r>
          </w:p>
        </w:tc>
        <w:tc>
          <w:tcPr>
            <w:tcW w:w="1745" w:type="dxa"/>
          </w:tcPr>
          <w:p w14:paraId="4E596980" w14:textId="77777777" w:rsidR="00906FD4" w:rsidRDefault="00906FD4" w:rsidP="00FB65FC">
            <w:r w:rsidRPr="00F936A2">
              <w:rPr>
                <w:lang w:val="en-US"/>
              </w:rPr>
              <w:t xml:space="preserve">2.2 </w:t>
            </w:r>
            <w:proofErr w:type="spellStart"/>
            <w:r w:rsidRPr="00F936A2">
              <w:rPr>
                <w:lang w:val="en-US"/>
              </w:rPr>
              <w:t>ms</w:t>
            </w:r>
            <w:proofErr w:type="spellEnd"/>
          </w:p>
        </w:tc>
        <w:tc>
          <w:tcPr>
            <w:tcW w:w="2154" w:type="dxa"/>
          </w:tcPr>
          <w:p w14:paraId="57312FE3" w14:textId="77777777" w:rsidR="00906FD4" w:rsidRDefault="00906FD4" w:rsidP="00FB65FC">
            <w:r w:rsidRPr="00F936A2">
              <w:rPr>
                <w:lang w:val="en-US"/>
              </w:rPr>
              <w:t xml:space="preserve">6.2 </w:t>
            </w:r>
            <w:proofErr w:type="spellStart"/>
            <w:r w:rsidRPr="00F936A2">
              <w:rPr>
                <w:lang w:val="en-US"/>
              </w:rPr>
              <w:t>ms</w:t>
            </w:r>
            <w:proofErr w:type="spellEnd"/>
          </w:p>
        </w:tc>
      </w:tr>
      <w:tr w:rsidR="00906FD4" w14:paraId="0A3B4853" w14:textId="77777777" w:rsidTr="00906FD4">
        <w:tc>
          <w:tcPr>
            <w:tcW w:w="704" w:type="dxa"/>
            <w:vMerge/>
          </w:tcPr>
          <w:p w14:paraId="462D7177" w14:textId="77777777" w:rsidR="00906FD4" w:rsidRDefault="00906FD4" w:rsidP="00FB65FC"/>
        </w:tc>
        <w:tc>
          <w:tcPr>
            <w:tcW w:w="739" w:type="dxa"/>
          </w:tcPr>
          <w:p w14:paraId="5866BD31" w14:textId="77777777" w:rsidR="00906FD4" w:rsidRDefault="00906FD4" w:rsidP="00FB65FC">
            <w:r w:rsidRPr="00F936A2">
              <w:rPr>
                <w:lang w:val="en-US"/>
              </w:rPr>
              <w:t>T2</w:t>
            </w:r>
          </w:p>
        </w:tc>
        <w:tc>
          <w:tcPr>
            <w:tcW w:w="805" w:type="dxa"/>
          </w:tcPr>
          <w:p w14:paraId="7874EE45" w14:textId="77777777" w:rsidR="00906FD4" w:rsidRDefault="00906FD4" w:rsidP="00FB65FC">
            <w:r w:rsidRPr="00F936A2">
              <w:rPr>
                <w:lang w:val="en-US"/>
              </w:rPr>
              <w:t>50</w:t>
            </w:r>
            <w:r w:rsidRPr="003049FC">
              <w:rPr>
                <w:vertAlign w:val="superscript"/>
                <w:lang w:val="en-US"/>
              </w:rPr>
              <w:t xml:space="preserve"> o</w:t>
            </w:r>
          </w:p>
        </w:tc>
        <w:tc>
          <w:tcPr>
            <w:tcW w:w="1766" w:type="dxa"/>
          </w:tcPr>
          <w:p w14:paraId="38E5B55E" w14:textId="77777777" w:rsidR="00906FD4" w:rsidRDefault="00906FD4" w:rsidP="00FB65FC">
            <w:r w:rsidRPr="00F936A2">
              <w:rPr>
                <w:lang w:val="en-US"/>
              </w:rPr>
              <w:t xml:space="preserve">2.5 </w:t>
            </w:r>
            <w:proofErr w:type="spellStart"/>
            <w:r w:rsidRPr="00F936A2">
              <w:rPr>
                <w:lang w:val="en-US"/>
              </w:rPr>
              <w:t>ms</w:t>
            </w:r>
            <w:proofErr w:type="spellEnd"/>
          </w:p>
        </w:tc>
        <w:tc>
          <w:tcPr>
            <w:tcW w:w="1376" w:type="dxa"/>
          </w:tcPr>
          <w:p w14:paraId="5F6BAAFE" w14:textId="77777777" w:rsidR="00906FD4" w:rsidRDefault="00906FD4" w:rsidP="00FB65FC">
            <w:r w:rsidRPr="00F936A2">
              <w:rPr>
                <w:lang w:val="en-US"/>
              </w:rPr>
              <w:t>80</w:t>
            </w:r>
            <w:r w:rsidRPr="003049FC">
              <w:rPr>
                <w:vertAlign w:val="superscript"/>
                <w:lang w:val="en-US"/>
              </w:rPr>
              <w:t xml:space="preserve"> o</w:t>
            </w:r>
          </w:p>
        </w:tc>
        <w:tc>
          <w:tcPr>
            <w:tcW w:w="1745" w:type="dxa"/>
          </w:tcPr>
          <w:p w14:paraId="408BB5EE" w14:textId="77777777" w:rsidR="00906FD4" w:rsidRDefault="00906FD4" w:rsidP="00FB65FC">
            <w:r w:rsidRPr="00F936A2">
              <w:rPr>
                <w:lang w:val="en-US"/>
              </w:rPr>
              <w:t xml:space="preserve">2 </w:t>
            </w:r>
            <w:proofErr w:type="spellStart"/>
            <w:r w:rsidRPr="00F936A2">
              <w:rPr>
                <w:lang w:val="en-US"/>
              </w:rPr>
              <w:t>ms</w:t>
            </w:r>
            <w:proofErr w:type="spellEnd"/>
          </w:p>
        </w:tc>
        <w:tc>
          <w:tcPr>
            <w:tcW w:w="2154" w:type="dxa"/>
          </w:tcPr>
          <w:p w14:paraId="4ACF3544" w14:textId="77777777" w:rsidR="00906FD4" w:rsidRDefault="00906FD4" w:rsidP="00FB65FC">
            <w:r w:rsidRPr="00F936A2">
              <w:rPr>
                <w:lang w:val="en-US"/>
              </w:rPr>
              <w:t xml:space="preserve">4.5 </w:t>
            </w:r>
            <w:proofErr w:type="spellStart"/>
            <w:r w:rsidRPr="00F936A2">
              <w:rPr>
                <w:lang w:val="en-US"/>
              </w:rPr>
              <w:t>ms</w:t>
            </w:r>
            <w:proofErr w:type="spellEnd"/>
          </w:p>
        </w:tc>
      </w:tr>
    </w:tbl>
    <w:p w14:paraId="0649D469" w14:textId="77777777" w:rsidR="00E12DEF" w:rsidRDefault="00E12DEF" w:rsidP="00E12DEF">
      <w:pPr>
        <w:rPr>
          <w:lang w:val="en-US"/>
        </w:rPr>
      </w:pPr>
    </w:p>
    <w:p w14:paraId="42D86682" w14:textId="0500AF18" w:rsidR="00E12DEF" w:rsidRDefault="00E12DEF" w:rsidP="00E12DEF">
      <w:r>
        <w:rPr>
          <w:lang w:val="en-US"/>
        </w:rPr>
        <w:t>The column “</w:t>
      </w:r>
      <w:r>
        <w:t>Joint GW-SAT-UE delay</w:t>
      </w:r>
      <w:r>
        <w:rPr>
          <w:lang w:val="en-US"/>
        </w:rPr>
        <w:t xml:space="preserve">” indicates that the combined propagation delay between NTN-GW1 and UE will not change from T1 to T2, while the propagation delay between NTN-GW2 and UE is reduced 1.7 </w:t>
      </w:r>
      <w:proofErr w:type="spellStart"/>
      <w:r>
        <w:rPr>
          <w:lang w:val="en-US"/>
        </w:rPr>
        <w:t>ms.</w:t>
      </w:r>
      <w:proofErr w:type="spellEnd"/>
      <w:r>
        <w:rPr>
          <w:lang w:val="en-US"/>
        </w:rPr>
        <w:t xml:space="preserve"> Since the UE’s timing is based on the serving cell, which in this scenario originates from NTN-GW1, the UE will observe that the SSBs from the target neighbor cell provided via NTN-GW2 drifts over time – specifically the timing difference between the two cells will change from 4.2 </w:t>
      </w:r>
      <w:proofErr w:type="spellStart"/>
      <w:r>
        <w:rPr>
          <w:lang w:val="en-US"/>
        </w:rPr>
        <w:t>ms</w:t>
      </w:r>
      <w:proofErr w:type="spellEnd"/>
      <w:r>
        <w:rPr>
          <w:lang w:val="en-US"/>
        </w:rPr>
        <w:t xml:space="preserve"> at T1 to 5.9 </w:t>
      </w:r>
      <w:proofErr w:type="spellStart"/>
      <w:r>
        <w:rPr>
          <w:lang w:val="en-US"/>
        </w:rPr>
        <w:t>ms</w:t>
      </w:r>
      <w:proofErr w:type="spellEnd"/>
      <w:r>
        <w:rPr>
          <w:lang w:val="en-US"/>
        </w:rPr>
        <w:t xml:space="preserve"> at T2. If the SMTC window, with a maximum length of 5 subframes, is statically configured it may not be able to handle such a drift in the sense that the SSB of the target neighbor cell may eventually be located outside the SMTC window. This can lead to the UE not being able to detect and measure the target neighbor cell.</w:t>
      </w:r>
    </w:p>
    <w:p w14:paraId="73F96D06" w14:textId="3C720927" w:rsidR="00E12DEF" w:rsidRPr="00982FAB" w:rsidRDefault="00E12DEF" w:rsidP="00353232">
      <w:r w:rsidRPr="00982FAB">
        <w:rPr>
          <w:i/>
          <w:iCs/>
        </w:rPr>
        <w:t>Observation</w:t>
      </w:r>
      <w:r w:rsidR="00D842D2" w:rsidRPr="00982FAB">
        <w:rPr>
          <w:i/>
          <w:iCs/>
        </w:rPr>
        <w:t xml:space="preserve"> 1</w:t>
      </w:r>
      <w:r w:rsidRPr="00982FAB">
        <w:t xml:space="preserve">: </w:t>
      </w:r>
      <w:r w:rsidR="00C902BA" w:rsidRPr="00982FAB">
        <w:t>A s</w:t>
      </w:r>
      <w:r w:rsidRPr="00982FAB">
        <w:t>tatic SMTC window duration</w:t>
      </w:r>
      <w:r w:rsidR="00C902BA" w:rsidRPr="00982FAB">
        <w:t xml:space="preserve"> may be unable to handle serving and neighbour cell propagation delay variations.</w:t>
      </w:r>
    </w:p>
    <w:p w14:paraId="065FB992" w14:textId="42CC0A07" w:rsidR="00C902BA" w:rsidRDefault="00C902BA" w:rsidP="00353232">
      <w:proofErr w:type="spellStart"/>
      <w:r w:rsidRPr="00C902BA">
        <w:t>Furthremo</w:t>
      </w:r>
      <w:r>
        <w:t>re</w:t>
      </w:r>
      <w:proofErr w:type="spellEnd"/>
      <w:r>
        <w:t xml:space="preserve">, it is not clear whether satellites can be expected to be time-synchronized in terms of alignment of frame boundaries and time-wise location of SSBs. Thus, the SMTC and measurement gap configurations also need to consider a potential time offset between satellites. </w:t>
      </w:r>
    </w:p>
    <w:p w14:paraId="6EF39CF2" w14:textId="6578E880" w:rsidR="00827590" w:rsidRPr="0086612C" w:rsidRDefault="0086612C" w:rsidP="0086612C">
      <w:pPr>
        <w:pStyle w:val="Heading1"/>
        <w:numPr>
          <w:ilvl w:val="0"/>
          <w:numId w:val="14"/>
        </w:numPr>
        <w:ind w:left="851" w:hanging="851"/>
      </w:pPr>
      <w:r w:rsidRPr="0086612C">
        <w:t>Transparent satellite impact on power levels</w:t>
      </w:r>
    </w:p>
    <w:p w14:paraId="24D17F7B" w14:textId="71089B66" w:rsidR="00827590" w:rsidRDefault="0086612C" w:rsidP="00353232">
      <w:pPr>
        <w:rPr>
          <w:lang w:val="en-US"/>
        </w:rPr>
      </w:pPr>
      <w:r>
        <w:rPr>
          <w:lang w:val="en-US"/>
        </w:rPr>
        <w:t xml:space="preserve">According to section 5.1.1 of TR 38.821 </w:t>
      </w:r>
      <w:r>
        <w:rPr>
          <w:lang w:val="en-US"/>
        </w:rPr>
        <w:fldChar w:fldCharType="begin"/>
      </w:r>
      <w:r>
        <w:rPr>
          <w:lang w:val="en-US"/>
        </w:rPr>
        <w:instrText xml:space="preserve"> REF _Ref66872129 \r \h </w:instrText>
      </w:r>
      <w:r>
        <w:rPr>
          <w:lang w:val="en-US"/>
        </w:rPr>
      </w:r>
      <w:r>
        <w:rPr>
          <w:lang w:val="en-US"/>
        </w:rPr>
        <w:fldChar w:fldCharType="separate"/>
      </w:r>
      <w:r w:rsidR="00C902BA">
        <w:rPr>
          <w:lang w:val="en-US"/>
        </w:rPr>
        <w:t>[2]</w:t>
      </w:r>
      <w:r>
        <w:rPr>
          <w:lang w:val="en-US"/>
        </w:rPr>
        <w:fldChar w:fldCharType="end"/>
      </w:r>
      <w:r>
        <w:rPr>
          <w:lang w:val="en-US"/>
        </w:rPr>
        <w:t xml:space="preserve"> the transparent satellite will amplify uplink and downlink radio signals. However, the TR does not define how the amplification is performed. This is problematic, because the satellite power </w:t>
      </w:r>
      <w:r>
        <w:rPr>
          <w:lang w:val="en-US"/>
        </w:rPr>
        <w:lastRenderedPageBreak/>
        <w:t>levels impact link adaptation, e.g. in terms of how to interpret uplink sounding reference signals and downlink channel state information reports</w:t>
      </w:r>
      <w:r w:rsidR="002A5322">
        <w:rPr>
          <w:lang w:val="en-US"/>
        </w:rPr>
        <w:t>;</w:t>
      </w:r>
      <w:r>
        <w:rPr>
          <w:lang w:val="en-US"/>
        </w:rPr>
        <w:t xml:space="preserve"> mobility mechanisms based on interpretation of RRM measurements</w:t>
      </w:r>
      <w:r w:rsidR="002A5322">
        <w:rPr>
          <w:lang w:val="en-US"/>
        </w:rPr>
        <w:t>;</w:t>
      </w:r>
      <w:r>
        <w:rPr>
          <w:lang w:val="en-US"/>
        </w:rPr>
        <w:t xml:space="preserve"> and UE uplink power </w:t>
      </w:r>
      <w:r w:rsidR="002A5322">
        <w:rPr>
          <w:lang w:val="en-US"/>
        </w:rPr>
        <w:t>control, where the UE considers the channel to be reciprocal when adjusting uplink power based on downlink measurements</w:t>
      </w:r>
      <w:r>
        <w:rPr>
          <w:lang w:val="en-US"/>
        </w:rPr>
        <w:t xml:space="preserve">. The amplification may be based on </w:t>
      </w:r>
      <w:r w:rsidR="004B0EFC">
        <w:rPr>
          <w:lang w:val="en-US"/>
        </w:rPr>
        <w:fldChar w:fldCharType="begin"/>
      </w:r>
      <w:r w:rsidR="004B0EFC">
        <w:rPr>
          <w:lang w:val="en-US"/>
        </w:rPr>
        <w:instrText xml:space="preserve"> REF _Ref66873459 \r \h </w:instrText>
      </w:r>
      <w:r w:rsidR="004B0EFC">
        <w:rPr>
          <w:lang w:val="en-US"/>
        </w:rPr>
      </w:r>
      <w:r w:rsidR="004B0EFC">
        <w:rPr>
          <w:lang w:val="en-US"/>
        </w:rPr>
        <w:fldChar w:fldCharType="separate"/>
      </w:r>
      <w:r w:rsidR="00C902BA">
        <w:rPr>
          <w:lang w:val="en-US"/>
        </w:rPr>
        <w:t>[8]</w:t>
      </w:r>
      <w:r w:rsidR="004B0EFC">
        <w:rPr>
          <w:lang w:val="en-US"/>
        </w:rPr>
        <w:fldChar w:fldCharType="end"/>
      </w:r>
    </w:p>
    <w:p w14:paraId="666D3A13" w14:textId="17F5B94D" w:rsidR="0086612C" w:rsidRDefault="0086612C" w:rsidP="0086612C">
      <w:pPr>
        <w:pStyle w:val="ListParagraph"/>
        <w:numPr>
          <w:ilvl w:val="0"/>
          <w:numId w:val="48"/>
        </w:numPr>
        <w:rPr>
          <w:lang w:val="en-US"/>
        </w:rPr>
      </w:pPr>
      <w:r>
        <w:rPr>
          <w:lang w:val="en-US"/>
        </w:rPr>
        <w:t>Constant gain. The receive and transmit gains are constant i.e. independent of the input signal to the amplifier.</w:t>
      </w:r>
    </w:p>
    <w:p w14:paraId="48D27A51" w14:textId="720D6C5F" w:rsidR="0086612C" w:rsidRDefault="0086612C" w:rsidP="0086612C">
      <w:pPr>
        <w:pStyle w:val="ListParagraph"/>
        <w:numPr>
          <w:ilvl w:val="0"/>
          <w:numId w:val="48"/>
        </w:numPr>
        <w:rPr>
          <w:lang w:val="en-US"/>
        </w:rPr>
      </w:pPr>
      <w:r>
        <w:rPr>
          <w:lang w:val="en-US"/>
        </w:rPr>
        <w:t>Constant E</w:t>
      </w:r>
      <w:r w:rsidR="00C26509">
        <w:rPr>
          <w:lang w:val="en-US"/>
        </w:rPr>
        <w:t>quivalent</w:t>
      </w:r>
      <w:r>
        <w:rPr>
          <w:lang w:val="en-US"/>
        </w:rPr>
        <w:t xml:space="preserve"> Isotropic Radiated Power (EIRP). The receive and transmit gains of the satellite are adjusted based on the received signal to obtain a constant target EIRP.</w:t>
      </w:r>
    </w:p>
    <w:p w14:paraId="65BC55F9" w14:textId="1CAB6237" w:rsidR="0086612C" w:rsidRDefault="0086612C" w:rsidP="0086612C">
      <w:pPr>
        <w:pStyle w:val="ListParagraph"/>
        <w:numPr>
          <w:ilvl w:val="0"/>
          <w:numId w:val="48"/>
        </w:numPr>
        <w:rPr>
          <w:lang w:val="en-US"/>
        </w:rPr>
      </w:pPr>
      <w:r>
        <w:rPr>
          <w:lang w:val="en-US"/>
        </w:rPr>
        <w:t xml:space="preserve">Constant power at receiver. The satellite may attempt to compensate the loss of the radio channel to ensure constant power at the </w:t>
      </w:r>
      <w:r w:rsidR="004B0EFC">
        <w:rPr>
          <w:lang w:val="en-US"/>
        </w:rPr>
        <w:t>NTN-GW, i.e. feeder link equalization</w:t>
      </w:r>
      <w:r>
        <w:rPr>
          <w:lang w:val="en-US"/>
        </w:rPr>
        <w:t>.</w:t>
      </w:r>
    </w:p>
    <w:p w14:paraId="75E3A707" w14:textId="0AE97685" w:rsidR="004B0EFC" w:rsidRDefault="004B0EFC" w:rsidP="0086612C">
      <w:pPr>
        <w:pStyle w:val="ListParagraph"/>
        <w:numPr>
          <w:ilvl w:val="0"/>
          <w:numId w:val="48"/>
        </w:numPr>
        <w:rPr>
          <w:lang w:val="en-US"/>
        </w:rPr>
      </w:pPr>
      <w:r>
        <w:rPr>
          <w:lang w:val="en-US"/>
        </w:rPr>
        <w:t xml:space="preserve">Constant power spectral density. The satellite may amplify the received signal to achieve the same power </w:t>
      </w:r>
      <w:proofErr w:type="spellStart"/>
      <w:r>
        <w:rPr>
          <w:lang w:val="en-US"/>
        </w:rPr>
        <w:t>power</w:t>
      </w:r>
      <w:proofErr w:type="spellEnd"/>
      <w:r>
        <w:rPr>
          <w:lang w:val="en-US"/>
        </w:rPr>
        <w:t xml:space="preserve"> in all subcarriers.</w:t>
      </w:r>
    </w:p>
    <w:p w14:paraId="1F4FE73A" w14:textId="07B81054" w:rsidR="0086612C" w:rsidRDefault="002A5322" w:rsidP="0086612C">
      <w:r>
        <w:t>In the following two examples are provided to demonstrate the impact of the various amplification types.</w:t>
      </w:r>
    </w:p>
    <w:p w14:paraId="2D58D611" w14:textId="7EAF2081" w:rsidR="002A5322" w:rsidRDefault="002A5322" w:rsidP="0086612C">
      <w:r>
        <w:fldChar w:fldCharType="begin"/>
      </w:r>
      <w:r>
        <w:instrText xml:space="preserve"> REF _Ref30426839 \h </w:instrText>
      </w:r>
      <w:r>
        <w:fldChar w:fldCharType="separate"/>
      </w:r>
      <w:r w:rsidR="00C902BA" w:rsidRPr="00AC7B60">
        <w:t xml:space="preserve">Figure </w:t>
      </w:r>
      <w:r w:rsidR="00C902BA">
        <w:rPr>
          <w:noProof/>
        </w:rPr>
        <w:t>2</w:t>
      </w:r>
      <w:r>
        <w:fldChar w:fldCharType="end"/>
      </w:r>
      <w:r>
        <w:t xml:space="preserve"> illustrates a scenario where the propagation distance from NTN-GW1 to the UE and the distance from NTN-GW2 to the UE are the same. If the constant gain amplification is applied the UE will receive the same power level from both NTN-GWs. If the satellite utilizes constant EIRP the UE’s received power from SAT2 will be significantly higher than from </w:t>
      </w:r>
      <w:proofErr w:type="gramStart"/>
      <w:r>
        <w:t>SAT1, because</w:t>
      </w:r>
      <w:proofErr w:type="gramEnd"/>
      <w:r>
        <w:t xml:space="preserve"> the service link propagation distance sl2 is shorter than sl1. </w:t>
      </w:r>
    </w:p>
    <w:p w14:paraId="33E6CE40" w14:textId="77777777" w:rsidR="002A5322" w:rsidRPr="00AC7B60" w:rsidRDefault="002A5322" w:rsidP="002A5322">
      <w:pPr>
        <w:keepNext/>
        <w:jc w:val="center"/>
      </w:pPr>
      <w:r>
        <w:rPr>
          <w:noProof/>
        </w:rPr>
        <w:drawing>
          <wp:inline distT="0" distB="0" distL="0" distR="0" wp14:anchorId="1D4B660D" wp14:editId="7096B864">
            <wp:extent cx="4196517" cy="1800000"/>
            <wp:effectExtent l="0" t="0" r="0" b="0"/>
            <wp:docPr id="15940521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4196517" cy="1800000"/>
                    </a:xfrm>
                    <a:prstGeom prst="rect">
                      <a:avLst/>
                    </a:prstGeom>
                  </pic:spPr>
                </pic:pic>
              </a:graphicData>
            </a:graphic>
          </wp:inline>
        </w:drawing>
      </w:r>
    </w:p>
    <w:p w14:paraId="388339C1" w14:textId="18AC0017" w:rsidR="002A5322" w:rsidRPr="00AC7B60" w:rsidRDefault="002A5322" w:rsidP="002A5322">
      <w:pPr>
        <w:pStyle w:val="Caption"/>
        <w:jc w:val="center"/>
      </w:pPr>
      <w:bookmarkStart w:id="4" w:name="_Ref30426839"/>
      <w:r w:rsidRPr="00AC7B60">
        <w:t xml:space="preserve">Figure </w:t>
      </w:r>
      <w:r>
        <w:fldChar w:fldCharType="begin"/>
      </w:r>
      <w:r>
        <w:instrText xml:space="preserve"> SEQ Figure \* ARABIC </w:instrText>
      </w:r>
      <w:r>
        <w:fldChar w:fldCharType="separate"/>
      </w:r>
      <w:r w:rsidR="00C902BA">
        <w:rPr>
          <w:noProof/>
        </w:rPr>
        <w:t>2</w:t>
      </w:r>
      <w:r>
        <w:rPr>
          <w:noProof/>
        </w:rPr>
        <w:fldChar w:fldCharType="end"/>
      </w:r>
      <w:bookmarkEnd w:id="4"/>
      <w:r w:rsidRPr="00AC7B60">
        <w:t xml:space="preserve"> </w:t>
      </w:r>
      <w:r w:rsidR="00E12DEF">
        <w:t xml:space="preserve">Scenario where service link propagation distances are different for two NTN-GW </w:t>
      </w:r>
      <w:proofErr w:type="spellStart"/>
      <w:r w:rsidR="00E12DEF">
        <w:t>conenctions</w:t>
      </w:r>
      <w:proofErr w:type="spellEnd"/>
      <w:r w:rsidRPr="00AC7B60">
        <w:t>.</w:t>
      </w:r>
    </w:p>
    <w:p w14:paraId="0FCA7C7D" w14:textId="740334E0" w:rsidR="002A5322" w:rsidRDefault="002A5322" w:rsidP="002A5322">
      <w:r>
        <w:fldChar w:fldCharType="begin"/>
      </w:r>
      <w:r>
        <w:instrText xml:space="preserve"> REF _Ref31275908 \h </w:instrText>
      </w:r>
      <w:r>
        <w:fldChar w:fldCharType="separate"/>
      </w:r>
      <w:r w:rsidR="00C902BA" w:rsidRPr="00AC7B60">
        <w:t xml:space="preserve">Figure </w:t>
      </w:r>
      <w:r w:rsidR="00C902BA">
        <w:rPr>
          <w:noProof/>
        </w:rPr>
        <w:t>3</w:t>
      </w:r>
      <w:r>
        <w:fldChar w:fldCharType="end"/>
      </w:r>
      <w:r>
        <w:t xml:space="preserve"> demonstrates an example where the </w:t>
      </w:r>
      <w:proofErr w:type="gramStart"/>
      <w:r>
        <w:t>two service</w:t>
      </w:r>
      <w:proofErr w:type="gramEnd"/>
      <w:r>
        <w:t xml:space="preserve"> links sl1 and sl2, linking the UE to NTN-GW1 and NTN-GW2, respectively, are the same length. Therefore, the constant EIRP amplification will lead to the UE receiving signals from NTN-GW1 and NTN-GW2 with the same power, while </w:t>
      </w:r>
      <w:proofErr w:type="gramStart"/>
      <w:r>
        <w:t>in reality the</w:t>
      </w:r>
      <w:proofErr w:type="gramEnd"/>
      <w:r>
        <w:t xml:space="preserve"> propagation delay and loss are significantly longer/higher for NTN-GW1. </w:t>
      </w:r>
    </w:p>
    <w:p w14:paraId="7C6D38E2" w14:textId="77777777" w:rsidR="002A5322" w:rsidRPr="00AC7B60" w:rsidRDefault="002A5322" w:rsidP="002A5322">
      <w:pPr>
        <w:keepNext/>
        <w:jc w:val="center"/>
      </w:pPr>
      <w:r>
        <w:rPr>
          <w:noProof/>
        </w:rPr>
        <w:drawing>
          <wp:inline distT="0" distB="0" distL="0" distR="0" wp14:anchorId="0D70F166" wp14:editId="40E983C3">
            <wp:extent cx="3384744" cy="1800000"/>
            <wp:effectExtent l="0" t="0" r="6350" b="0"/>
            <wp:docPr id="1183024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3384744" cy="1800000"/>
                    </a:xfrm>
                    <a:prstGeom prst="rect">
                      <a:avLst/>
                    </a:prstGeom>
                  </pic:spPr>
                </pic:pic>
              </a:graphicData>
            </a:graphic>
          </wp:inline>
        </w:drawing>
      </w:r>
    </w:p>
    <w:p w14:paraId="7A40E092" w14:textId="3EB99181" w:rsidR="00E12DEF" w:rsidRPr="00AC7B60" w:rsidRDefault="002A5322" w:rsidP="00E12DEF">
      <w:pPr>
        <w:pStyle w:val="Caption"/>
        <w:jc w:val="center"/>
      </w:pPr>
      <w:bookmarkStart w:id="5" w:name="_Ref31275908"/>
      <w:r w:rsidRPr="00AC7B60">
        <w:t xml:space="preserve">Figure </w:t>
      </w:r>
      <w:r>
        <w:fldChar w:fldCharType="begin"/>
      </w:r>
      <w:r>
        <w:instrText xml:space="preserve"> SEQ Figure \* ARABIC </w:instrText>
      </w:r>
      <w:r>
        <w:fldChar w:fldCharType="separate"/>
      </w:r>
      <w:r w:rsidR="00C902BA">
        <w:rPr>
          <w:noProof/>
        </w:rPr>
        <w:t>3</w:t>
      </w:r>
      <w:r>
        <w:rPr>
          <w:noProof/>
        </w:rPr>
        <w:fldChar w:fldCharType="end"/>
      </w:r>
      <w:bookmarkEnd w:id="5"/>
      <w:r w:rsidRPr="00AC7B60">
        <w:t xml:space="preserve"> </w:t>
      </w:r>
      <w:r w:rsidR="00E12DEF">
        <w:t xml:space="preserve">Scenario where service link propagation distances are the same for two NTN-GW </w:t>
      </w:r>
      <w:proofErr w:type="spellStart"/>
      <w:r w:rsidR="00E12DEF">
        <w:t>conenctions</w:t>
      </w:r>
      <w:proofErr w:type="spellEnd"/>
      <w:r w:rsidR="00E12DEF" w:rsidRPr="00AC7B60">
        <w:t>.</w:t>
      </w:r>
    </w:p>
    <w:p w14:paraId="0CD44BC7" w14:textId="7A6EC204" w:rsidR="004C0076" w:rsidRDefault="004C0076" w:rsidP="00E12DEF">
      <w:pPr>
        <w:pStyle w:val="Caption"/>
        <w:jc w:val="center"/>
        <w:rPr>
          <w:b w:val="0"/>
          <w:bCs/>
        </w:rPr>
      </w:pPr>
      <w:r w:rsidRPr="009267F7">
        <w:rPr>
          <w:b w:val="0"/>
          <w:bCs/>
          <w:i/>
          <w:iCs/>
        </w:rPr>
        <w:t>Observation</w:t>
      </w:r>
      <w:r w:rsidR="009267F7" w:rsidRPr="009267F7">
        <w:rPr>
          <w:b w:val="0"/>
          <w:bCs/>
          <w:i/>
          <w:iCs/>
        </w:rPr>
        <w:t xml:space="preserve"> 2</w:t>
      </w:r>
      <w:r>
        <w:rPr>
          <w:b w:val="0"/>
          <w:bCs/>
        </w:rPr>
        <w:t>: The transparent satellite amplification type impacts UE and network interpretation of measurements.</w:t>
      </w:r>
    </w:p>
    <w:p w14:paraId="3BAF61A7" w14:textId="77777777" w:rsidR="002A5322" w:rsidRPr="0086612C" w:rsidRDefault="002A5322" w:rsidP="0086612C"/>
    <w:p w14:paraId="30BE5691" w14:textId="4B055AA5" w:rsidR="00AD407E" w:rsidRPr="006D4D6A" w:rsidRDefault="00AD407E" w:rsidP="00CA5E39">
      <w:pPr>
        <w:pStyle w:val="Heading1"/>
        <w:numPr>
          <w:ilvl w:val="0"/>
          <w:numId w:val="14"/>
        </w:numPr>
        <w:ind w:left="851" w:hanging="851"/>
      </w:pPr>
      <w:r w:rsidRPr="007E6FAE">
        <w:lastRenderedPageBreak/>
        <w:t>Conclusion</w:t>
      </w:r>
    </w:p>
    <w:p w14:paraId="5846664A" w14:textId="3BF8A088" w:rsidR="00671AA0" w:rsidRDefault="00AD407E" w:rsidP="004735F4">
      <w:pPr>
        <w:jc w:val="both"/>
      </w:pPr>
      <w:r w:rsidRPr="0083189B">
        <w:t xml:space="preserve">This contribution </w:t>
      </w:r>
      <w:r w:rsidR="00671AA0" w:rsidRPr="0083189B">
        <w:t>has the following observations:</w:t>
      </w:r>
    </w:p>
    <w:p w14:paraId="54BED73A" w14:textId="77777777" w:rsidR="00A652B0" w:rsidRPr="00A652B0" w:rsidRDefault="00A652B0" w:rsidP="00A652B0">
      <w:pPr>
        <w:ind w:left="284"/>
      </w:pPr>
      <w:r w:rsidRPr="00203240">
        <w:rPr>
          <w:i/>
          <w:iCs/>
        </w:rPr>
        <w:t>Observation 1</w:t>
      </w:r>
      <w:r w:rsidRPr="00A652B0">
        <w:t>: A static SMTC window duration may be unable to handle serving and neighbour cell propagation delay variations.</w:t>
      </w:r>
    </w:p>
    <w:p w14:paraId="1F3B6C4F" w14:textId="386D75D8" w:rsidR="00C35266" w:rsidRPr="008D32F3" w:rsidRDefault="00881EE1" w:rsidP="008D32F3">
      <w:pPr>
        <w:pStyle w:val="Caption"/>
        <w:jc w:val="center"/>
        <w:rPr>
          <w:b w:val="0"/>
          <w:bCs/>
        </w:rPr>
      </w:pPr>
      <w:r>
        <w:tab/>
      </w:r>
      <w:r w:rsidR="00203240" w:rsidRPr="009267F7">
        <w:rPr>
          <w:b w:val="0"/>
          <w:bCs/>
          <w:i/>
          <w:iCs/>
        </w:rPr>
        <w:t>Observation 2</w:t>
      </w:r>
      <w:r w:rsidR="00203240">
        <w:rPr>
          <w:b w:val="0"/>
          <w:bCs/>
        </w:rPr>
        <w:t>: The transparent satellite amplification type impacts UE and network interpretation of measurements.</w:t>
      </w:r>
      <w:r w:rsidR="00AD407E" w:rsidRPr="00C75CEB">
        <w:rPr>
          <w:highlight w:val="yellow"/>
        </w:rPr>
        <w:t xml:space="preserve"> </w:t>
      </w:r>
    </w:p>
    <w:p w14:paraId="45B6C37A" w14:textId="77777777" w:rsidR="00AD407E" w:rsidRPr="00FF6B64" w:rsidRDefault="00AD407E" w:rsidP="00AD407E">
      <w:pPr>
        <w:pStyle w:val="Heading1"/>
      </w:pPr>
      <w:r w:rsidRPr="00FF6B64">
        <w:t xml:space="preserve">         References</w:t>
      </w:r>
    </w:p>
    <w:p w14:paraId="17650126" w14:textId="5C3745D2" w:rsidR="0093035E" w:rsidRPr="00FF6B64" w:rsidRDefault="003136A2" w:rsidP="003136A2">
      <w:pPr>
        <w:numPr>
          <w:ilvl w:val="0"/>
          <w:numId w:val="13"/>
        </w:numPr>
        <w:spacing w:after="0"/>
        <w:ind w:left="714" w:hanging="357"/>
        <w:jc w:val="both"/>
      </w:pPr>
      <w:bookmarkStart w:id="6" w:name="_Ref54013899"/>
      <w:r w:rsidRPr="00FF6B64">
        <w:t xml:space="preserve">RP-201256, “Solutions for NR to support non-terrestrial networks (NTN)”, </w:t>
      </w:r>
      <w:proofErr w:type="gramStart"/>
      <w:r w:rsidRPr="00FF6B64">
        <w:t>July,</w:t>
      </w:r>
      <w:proofErr w:type="gramEnd"/>
      <w:r w:rsidRPr="00FF6B64">
        <w:t xml:space="preserve"> 2020.</w:t>
      </w:r>
      <w:bookmarkEnd w:id="6"/>
    </w:p>
    <w:p w14:paraId="61833FB3" w14:textId="77777777" w:rsidR="00BE4277" w:rsidRPr="006D4D6A" w:rsidRDefault="00BE4277" w:rsidP="00BE4277">
      <w:pPr>
        <w:numPr>
          <w:ilvl w:val="0"/>
          <w:numId w:val="13"/>
        </w:numPr>
        <w:spacing w:after="0"/>
        <w:jc w:val="both"/>
      </w:pPr>
      <w:bookmarkStart w:id="7" w:name="_Ref66872129"/>
      <w:r w:rsidRPr="006D4D6A">
        <w:t xml:space="preserve">TR 38.821, “Solutions for NR to support non-terrestrial networks (NTN)”, </w:t>
      </w:r>
      <w:proofErr w:type="gramStart"/>
      <w:r w:rsidRPr="006D4D6A">
        <w:t>December,</w:t>
      </w:r>
      <w:proofErr w:type="gramEnd"/>
      <w:r w:rsidRPr="006D4D6A">
        <w:t xml:space="preserve"> 2019.</w:t>
      </w:r>
      <w:bookmarkEnd w:id="7"/>
    </w:p>
    <w:p w14:paraId="202A76EF" w14:textId="5EBCA909" w:rsidR="000527C0" w:rsidRDefault="00DD5B65" w:rsidP="00BE4277">
      <w:pPr>
        <w:numPr>
          <w:ilvl w:val="0"/>
          <w:numId w:val="13"/>
        </w:numPr>
        <w:spacing w:after="0"/>
        <w:jc w:val="both"/>
      </w:pPr>
      <w:r w:rsidRPr="00DD5B65">
        <w:t>R4-2103682</w:t>
      </w:r>
      <w:r w:rsidR="000527C0">
        <w:t xml:space="preserve">, “WF on NTN </w:t>
      </w:r>
      <w:r>
        <w:t>RRM measurement requirements</w:t>
      </w:r>
      <w:r w:rsidR="000527C0">
        <w:t xml:space="preserve">”, </w:t>
      </w:r>
      <w:r>
        <w:t>January</w:t>
      </w:r>
      <w:r w:rsidR="000527C0">
        <w:t xml:space="preserve"> 202</w:t>
      </w:r>
      <w:r>
        <w:t>1.</w:t>
      </w:r>
    </w:p>
    <w:p w14:paraId="7DD14AB1" w14:textId="2D271335" w:rsidR="00DD5B65" w:rsidRDefault="00DD5B65" w:rsidP="0089195F">
      <w:pPr>
        <w:numPr>
          <w:ilvl w:val="0"/>
          <w:numId w:val="13"/>
        </w:numPr>
        <w:spacing w:after="0"/>
        <w:jc w:val="both"/>
      </w:pPr>
      <w:bookmarkStart w:id="8" w:name="_Ref66866125"/>
      <w:r>
        <w:t>R2-2100001, “Report of 3GPP TSG RAN WG2 meeting #112-e”, November 2020.</w:t>
      </w:r>
      <w:bookmarkEnd w:id="8"/>
    </w:p>
    <w:p w14:paraId="0107D94F" w14:textId="7FC17D39" w:rsidR="00353232" w:rsidRPr="00A209D6" w:rsidRDefault="00353232" w:rsidP="00353232">
      <w:pPr>
        <w:pStyle w:val="ListParagraph"/>
        <w:numPr>
          <w:ilvl w:val="0"/>
          <w:numId w:val="13"/>
        </w:numPr>
        <w:overflowPunct/>
        <w:autoSpaceDE/>
        <w:autoSpaceDN/>
        <w:adjustRightInd/>
        <w:spacing w:after="200" w:line="276" w:lineRule="auto"/>
        <w:textAlignment w:val="auto"/>
      </w:pPr>
      <w:bookmarkStart w:id="9" w:name="_Ref66866738"/>
      <w:bookmarkStart w:id="10" w:name="_Ref59089877"/>
      <w:r w:rsidRPr="00B606A1">
        <w:t>3GPP, “Radio Resource Control (RRC) protocol specification”, TS 38.331</w:t>
      </w:r>
      <w:bookmarkEnd w:id="9"/>
      <w:r w:rsidR="004B0EFC">
        <w:t>.</w:t>
      </w:r>
      <w:r w:rsidRPr="00B606A1">
        <w:t xml:space="preserve"> </w:t>
      </w:r>
      <w:bookmarkEnd w:id="10"/>
    </w:p>
    <w:p w14:paraId="389B9824" w14:textId="05302DDD" w:rsidR="00353232" w:rsidRDefault="00353232" w:rsidP="0089195F">
      <w:pPr>
        <w:pStyle w:val="ListParagraph"/>
        <w:numPr>
          <w:ilvl w:val="0"/>
          <w:numId w:val="13"/>
        </w:numPr>
        <w:overflowPunct/>
        <w:autoSpaceDE/>
        <w:autoSpaceDN/>
        <w:adjustRightInd/>
        <w:spacing w:after="0" w:line="276" w:lineRule="auto"/>
        <w:jc w:val="both"/>
        <w:textAlignment w:val="auto"/>
      </w:pPr>
      <w:bookmarkStart w:id="11" w:name="_Ref66866659"/>
      <w:bookmarkStart w:id="12" w:name="_Ref59089868"/>
      <w:r w:rsidRPr="00B606A1">
        <w:t>3GPP, “Requirements for support of radio resource management”, TS 38.133</w:t>
      </w:r>
      <w:bookmarkEnd w:id="11"/>
      <w:r w:rsidR="004B0EFC">
        <w:t>.</w:t>
      </w:r>
      <w:r w:rsidRPr="00B606A1">
        <w:t xml:space="preserve"> </w:t>
      </w:r>
      <w:bookmarkEnd w:id="12"/>
    </w:p>
    <w:p w14:paraId="245C3567" w14:textId="6AA18E13" w:rsidR="00906FD4" w:rsidRDefault="00906FD4" w:rsidP="0089195F">
      <w:pPr>
        <w:pStyle w:val="ListParagraph"/>
        <w:numPr>
          <w:ilvl w:val="0"/>
          <w:numId w:val="13"/>
        </w:numPr>
        <w:overflowPunct/>
        <w:autoSpaceDE/>
        <w:autoSpaceDN/>
        <w:adjustRightInd/>
        <w:spacing w:after="0" w:line="276" w:lineRule="auto"/>
        <w:jc w:val="both"/>
        <w:textAlignment w:val="auto"/>
      </w:pPr>
      <w:bookmarkStart w:id="13" w:name="_Hlk66874556"/>
      <w:bookmarkStart w:id="14" w:name="_Ref66873895"/>
      <w:r w:rsidRPr="00906FD4">
        <w:t>R2-2100530</w:t>
      </w:r>
      <w:bookmarkEnd w:id="13"/>
      <w:r>
        <w:t>, “</w:t>
      </w:r>
      <w:r w:rsidRPr="00906FD4">
        <w:t>On SMTC and measurements gaps for NTN</w:t>
      </w:r>
      <w:r>
        <w:t>”, January 2021.</w:t>
      </w:r>
      <w:bookmarkEnd w:id="14"/>
    </w:p>
    <w:p w14:paraId="66D80991" w14:textId="3740585F" w:rsidR="004B0EFC" w:rsidRDefault="004B0EFC" w:rsidP="0089195F">
      <w:pPr>
        <w:pStyle w:val="ListParagraph"/>
        <w:numPr>
          <w:ilvl w:val="0"/>
          <w:numId w:val="13"/>
        </w:numPr>
        <w:overflowPunct/>
        <w:autoSpaceDE/>
        <w:autoSpaceDN/>
        <w:adjustRightInd/>
        <w:spacing w:after="0" w:line="276" w:lineRule="auto"/>
        <w:jc w:val="both"/>
        <w:textAlignment w:val="auto"/>
      </w:pPr>
      <w:bookmarkStart w:id="15" w:name="_Ref66873459"/>
      <w:r>
        <w:t>R1-1908251, “</w:t>
      </w:r>
      <w:r w:rsidRPr="004B0EFC">
        <w:t>Considerations on UL Power Control, AMC and CSI in NTN</w:t>
      </w:r>
      <w:r>
        <w:t>”, August 2019.</w:t>
      </w:r>
      <w:bookmarkEnd w:id="15"/>
    </w:p>
    <w:p w14:paraId="4F7E6201" w14:textId="6F56266D" w:rsidR="003136A2" w:rsidRDefault="003136A2" w:rsidP="00E82A61">
      <w:pPr>
        <w:spacing w:after="0"/>
        <w:ind w:left="714"/>
        <w:jc w:val="both"/>
      </w:pPr>
    </w:p>
    <w:sectPr w:rsidR="003136A2" w:rsidSect="002965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8BB8F" w14:textId="77777777" w:rsidR="00F81EC4" w:rsidRDefault="00F81EC4">
      <w:r>
        <w:separator/>
      </w:r>
    </w:p>
    <w:p w14:paraId="640037C3" w14:textId="77777777" w:rsidR="00F81EC4" w:rsidRDefault="00F81EC4"/>
  </w:endnote>
  <w:endnote w:type="continuationSeparator" w:id="0">
    <w:p w14:paraId="6EBC140D" w14:textId="77777777" w:rsidR="00F81EC4" w:rsidRDefault="00F81EC4">
      <w:r>
        <w:continuationSeparator/>
      </w:r>
    </w:p>
    <w:p w14:paraId="405A3055" w14:textId="77777777" w:rsidR="00F81EC4" w:rsidRDefault="00F81EC4"/>
  </w:endnote>
  <w:endnote w:type="continuationNotice" w:id="1">
    <w:p w14:paraId="2AD81F73" w14:textId="77777777" w:rsidR="00F81EC4" w:rsidRDefault="00F81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542F1E" w:rsidRDefault="00542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542F1E" w:rsidRDefault="00542F1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542F1E" w:rsidRDefault="00542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192AE" w14:textId="77777777" w:rsidR="00F81EC4" w:rsidRDefault="00F81EC4">
      <w:r>
        <w:separator/>
      </w:r>
    </w:p>
    <w:p w14:paraId="55750EA7" w14:textId="77777777" w:rsidR="00F81EC4" w:rsidRDefault="00F81EC4"/>
  </w:footnote>
  <w:footnote w:type="continuationSeparator" w:id="0">
    <w:p w14:paraId="0D6C2A62" w14:textId="77777777" w:rsidR="00F81EC4" w:rsidRDefault="00F81EC4">
      <w:r>
        <w:continuationSeparator/>
      </w:r>
    </w:p>
    <w:p w14:paraId="09A2BA83" w14:textId="77777777" w:rsidR="00F81EC4" w:rsidRDefault="00F81EC4"/>
  </w:footnote>
  <w:footnote w:type="continuationNotice" w:id="1">
    <w:p w14:paraId="3AFE3A4F" w14:textId="77777777" w:rsidR="00F81EC4" w:rsidRDefault="00F81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542F1E" w:rsidRDefault="00542F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542F1E" w:rsidRPr="00B72D39" w:rsidRDefault="00542F1E"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542F1E" w:rsidRDefault="00542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66A9C"/>
    <w:multiLevelType w:val="hybridMultilevel"/>
    <w:tmpl w:val="6BDEB9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91EAB"/>
    <w:multiLevelType w:val="hybridMultilevel"/>
    <w:tmpl w:val="7E146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10"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12758"/>
    <w:multiLevelType w:val="hybridMultilevel"/>
    <w:tmpl w:val="3E98CEE0"/>
    <w:lvl w:ilvl="0" w:tplc="EF9CB984">
      <w:start w:val="1"/>
      <w:numFmt w:val="bullet"/>
      <w:lvlText w:val="•"/>
      <w:lvlJc w:val="left"/>
      <w:pPr>
        <w:tabs>
          <w:tab w:val="num" w:pos="720"/>
        </w:tabs>
        <w:ind w:left="720" w:hanging="360"/>
      </w:pPr>
      <w:rPr>
        <w:rFonts w:ascii="Arial" w:hAnsi="Arial" w:hint="default"/>
      </w:rPr>
    </w:lvl>
    <w:lvl w:ilvl="1" w:tplc="7A6AAF92">
      <w:numFmt w:val="bullet"/>
      <w:lvlText w:val="•"/>
      <w:lvlJc w:val="left"/>
      <w:pPr>
        <w:tabs>
          <w:tab w:val="num" w:pos="1440"/>
        </w:tabs>
        <w:ind w:left="1440" w:hanging="360"/>
      </w:pPr>
      <w:rPr>
        <w:rFonts w:ascii="Arial" w:hAnsi="Arial" w:hint="default"/>
      </w:rPr>
    </w:lvl>
    <w:lvl w:ilvl="2" w:tplc="E910B10A">
      <w:numFmt w:val="bullet"/>
      <w:lvlText w:val="•"/>
      <w:lvlJc w:val="left"/>
      <w:pPr>
        <w:tabs>
          <w:tab w:val="num" w:pos="2160"/>
        </w:tabs>
        <w:ind w:left="2160" w:hanging="360"/>
      </w:pPr>
      <w:rPr>
        <w:rFonts w:ascii="Arial" w:hAnsi="Arial" w:hint="default"/>
      </w:rPr>
    </w:lvl>
    <w:lvl w:ilvl="3" w:tplc="832C942C">
      <w:numFmt w:val="bullet"/>
      <w:lvlText w:val="•"/>
      <w:lvlJc w:val="left"/>
      <w:pPr>
        <w:tabs>
          <w:tab w:val="num" w:pos="2880"/>
        </w:tabs>
        <w:ind w:left="2880" w:hanging="360"/>
      </w:pPr>
      <w:rPr>
        <w:rFonts w:ascii="Arial" w:hAnsi="Arial" w:hint="default"/>
      </w:rPr>
    </w:lvl>
    <w:lvl w:ilvl="4" w:tplc="C7103182" w:tentative="1">
      <w:start w:val="1"/>
      <w:numFmt w:val="bullet"/>
      <w:lvlText w:val="•"/>
      <w:lvlJc w:val="left"/>
      <w:pPr>
        <w:tabs>
          <w:tab w:val="num" w:pos="3600"/>
        </w:tabs>
        <w:ind w:left="3600" w:hanging="360"/>
      </w:pPr>
      <w:rPr>
        <w:rFonts w:ascii="Arial" w:hAnsi="Arial" w:hint="default"/>
      </w:rPr>
    </w:lvl>
    <w:lvl w:ilvl="5" w:tplc="8E7A79C8" w:tentative="1">
      <w:start w:val="1"/>
      <w:numFmt w:val="bullet"/>
      <w:lvlText w:val="•"/>
      <w:lvlJc w:val="left"/>
      <w:pPr>
        <w:tabs>
          <w:tab w:val="num" w:pos="4320"/>
        </w:tabs>
        <w:ind w:left="4320" w:hanging="360"/>
      </w:pPr>
      <w:rPr>
        <w:rFonts w:ascii="Arial" w:hAnsi="Arial" w:hint="default"/>
      </w:rPr>
    </w:lvl>
    <w:lvl w:ilvl="6" w:tplc="597C6A40" w:tentative="1">
      <w:start w:val="1"/>
      <w:numFmt w:val="bullet"/>
      <w:lvlText w:val="•"/>
      <w:lvlJc w:val="left"/>
      <w:pPr>
        <w:tabs>
          <w:tab w:val="num" w:pos="5040"/>
        </w:tabs>
        <w:ind w:left="5040" w:hanging="360"/>
      </w:pPr>
      <w:rPr>
        <w:rFonts w:ascii="Arial" w:hAnsi="Arial" w:hint="default"/>
      </w:rPr>
    </w:lvl>
    <w:lvl w:ilvl="7" w:tplc="9E105A42" w:tentative="1">
      <w:start w:val="1"/>
      <w:numFmt w:val="bullet"/>
      <w:lvlText w:val="•"/>
      <w:lvlJc w:val="left"/>
      <w:pPr>
        <w:tabs>
          <w:tab w:val="num" w:pos="5760"/>
        </w:tabs>
        <w:ind w:left="5760" w:hanging="360"/>
      </w:pPr>
      <w:rPr>
        <w:rFonts w:ascii="Arial" w:hAnsi="Arial" w:hint="default"/>
      </w:rPr>
    </w:lvl>
    <w:lvl w:ilvl="8" w:tplc="03845C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354C3F"/>
    <w:multiLevelType w:val="hybridMultilevel"/>
    <w:tmpl w:val="A408687E"/>
    <w:lvl w:ilvl="0" w:tplc="0380A9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3E3422"/>
    <w:multiLevelType w:val="multilevel"/>
    <w:tmpl w:val="C97E60E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D17BB3"/>
    <w:multiLevelType w:val="hybridMultilevel"/>
    <w:tmpl w:val="B4AA9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7E2A2B"/>
    <w:multiLevelType w:val="hybridMultilevel"/>
    <w:tmpl w:val="A4FC0094"/>
    <w:lvl w:ilvl="0" w:tplc="71D6B04A">
      <w:numFmt w:val="bullet"/>
      <w:lvlText w:val="-"/>
      <w:lvlJc w:val="left"/>
      <w:pPr>
        <w:ind w:left="720" w:hanging="360"/>
      </w:pPr>
      <w:rPr>
        <w:rFonts w:ascii="Calibri" w:eastAsia="Calibri" w:hAnsi="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8"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7"/>
  </w:num>
  <w:num w:numId="3">
    <w:abstractNumId w:val="40"/>
  </w:num>
  <w:num w:numId="4">
    <w:abstractNumId w:val="14"/>
  </w:num>
  <w:num w:numId="5">
    <w:abstractNumId w:val="7"/>
  </w:num>
  <w:num w:numId="6">
    <w:abstractNumId w:val="37"/>
  </w:num>
  <w:num w:numId="7">
    <w:abstractNumId w:val="33"/>
  </w:num>
  <w:num w:numId="8">
    <w:abstractNumId w:val="36"/>
  </w:num>
  <w:num w:numId="9">
    <w:abstractNumId w:val="15"/>
  </w:num>
  <w:num w:numId="10">
    <w:abstractNumId w:val="27"/>
  </w:num>
  <w:num w:numId="11">
    <w:abstractNumId w:val="42"/>
  </w:num>
  <w:num w:numId="12">
    <w:abstractNumId w:val="22"/>
  </w:num>
  <w:num w:numId="13">
    <w:abstractNumId w:val="29"/>
  </w:num>
  <w:num w:numId="14">
    <w:abstractNumId w:val="20"/>
  </w:num>
  <w:num w:numId="15">
    <w:abstractNumId w:val="18"/>
  </w:num>
  <w:num w:numId="16">
    <w:abstractNumId w:val="13"/>
  </w:num>
  <w:num w:numId="17">
    <w:abstractNumId w:val="10"/>
  </w:num>
  <w:num w:numId="18">
    <w:abstractNumId w:val="32"/>
  </w:num>
  <w:num w:numId="19">
    <w:abstractNumId w:val="30"/>
  </w:num>
  <w:num w:numId="20">
    <w:abstractNumId w:val="6"/>
  </w:num>
  <w:num w:numId="21">
    <w:abstractNumId w:val="24"/>
  </w:num>
  <w:num w:numId="22">
    <w:abstractNumId w:val="34"/>
  </w:num>
  <w:num w:numId="23">
    <w:abstractNumId w:val="9"/>
  </w:num>
  <w:num w:numId="24">
    <w:abstractNumId w:val="31"/>
  </w:num>
  <w:num w:numId="25">
    <w:abstractNumId w:val="1"/>
  </w:num>
  <w:num w:numId="26">
    <w:abstractNumId w:val="25"/>
  </w:num>
  <w:num w:numId="27">
    <w:abstractNumId w:val="8"/>
  </w:num>
  <w:num w:numId="28">
    <w:abstractNumId w:val="5"/>
  </w:num>
  <w:num w:numId="29">
    <w:abstractNumId w:val="19"/>
  </w:num>
  <w:num w:numId="30">
    <w:abstractNumId w:val="28"/>
  </w:num>
  <w:num w:numId="31">
    <w:abstractNumId w:val="38"/>
  </w:num>
  <w:num w:numId="32">
    <w:abstractNumId w:val="21"/>
  </w:num>
  <w:num w:numId="33">
    <w:abstractNumId w:val="41"/>
  </w:num>
  <w:num w:numId="34">
    <w:abstractNumId w:val="16"/>
  </w:num>
  <w:num w:numId="35">
    <w:abstractNumId w:val="4"/>
  </w:num>
  <w:num w:numId="36">
    <w:abstractNumId w:val="2"/>
  </w:num>
  <w:num w:numId="37">
    <w:abstractNumId w:val="0"/>
  </w:num>
  <w:num w:numId="38">
    <w:abstractNumId w:val="35"/>
  </w:num>
  <w:num w:numId="39">
    <w:abstractNumId w:val="35"/>
  </w:num>
  <w:num w:numId="40">
    <w:abstractNumId w:val="39"/>
  </w:num>
  <w:num w:numId="41">
    <w:abstractNumId w:val="24"/>
  </w:num>
  <w:num w:numId="42">
    <w:abstractNumId w:val="34"/>
  </w:num>
  <w:num w:numId="43">
    <w:abstractNumId w:val="31"/>
  </w:num>
  <w:num w:numId="44">
    <w:abstractNumId w:val="9"/>
  </w:num>
  <w:num w:numId="45">
    <w:abstractNumId w:val="11"/>
  </w:num>
  <w:num w:numId="46">
    <w:abstractNumId w:val="23"/>
  </w:num>
  <w:num w:numId="47">
    <w:abstractNumId w:val="12"/>
  </w:num>
  <w:num w:numId="4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1AA6"/>
    <w:rsid w:val="000C21BF"/>
    <w:rsid w:val="000C23DD"/>
    <w:rsid w:val="000C25B8"/>
    <w:rsid w:val="000C2EA1"/>
    <w:rsid w:val="000C3C80"/>
    <w:rsid w:val="000C3E78"/>
    <w:rsid w:val="000C6D66"/>
    <w:rsid w:val="000C7655"/>
    <w:rsid w:val="000C7C24"/>
    <w:rsid w:val="000D07E4"/>
    <w:rsid w:val="000D09DE"/>
    <w:rsid w:val="000D2475"/>
    <w:rsid w:val="000D2901"/>
    <w:rsid w:val="000D3F6B"/>
    <w:rsid w:val="000D5DD1"/>
    <w:rsid w:val="000D7C62"/>
    <w:rsid w:val="000D7E77"/>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1C06"/>
    <w:rsid w:val="00122120"/>
    <w:rsid w:val="001225DF"/>
    <w:rsid w:val="00122919"/>
    <w:rsid w:val="001236A3"/>
    <w:rsid w:val="00123898"/>
    <w:rsid w:val="001238B2"/>
    <w:rsid w:val="00123AC6"/>
    <w:rsid w:val="00123C07"/>
    <w:rsid w:val="0012409E"/>
    <w:rsid w:val="00125777"/>
    <w:rsid w:val="001268ED"/>
    <w:rsid w:val="00126B33"/>
    <w:rsid w:val="00126DBD"/>
    <w:rsid w:val="001273E5"/>
    <w:rsid w:val="00127404"/>
    <w:rsid w:val="0012751C"/>
    <w:rsid w:val="001301C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804A7"/>
    <w:rsid w:val="00181340"/>
    <w:rsid w:val="00181456"/>
    <w:rsid w:val="00182487"/>
    <w:rsid w:val="0018295B"/>
    <w:rsid w:val="00183B89"/>
    <w:rsid w:val="00183EEE"/>
    <w:rsid w:val="00185362"/>
    <w:rsid w:val="001868A9"/>
    <w:rsid w:val="0018696D"/>
    <w:rsid w:val="001875B2"/>
    <w:rsid w:val="00187F25"/>
    <w:rsid w:val="0019099F"/>
    <w:rsid w:val="00191BCE"/>
    <w:rsid w:val="0019208D"/>
    <w:rsid w:val="001929D9"/>
    <w:rsid w:val="00192D27"/>
    <w:rsid w:val="00194067"/>
    <w:rsid w:val="001943B0"/>
    <w:rsid w:val="001946EA"/>
    <w:rsid w:val="001956E8"/>
    <w:rsid w:val="00196727"/>
    <w:rsid w:val="001A0E48"/>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548A"/>
    <w:rsid w:val="001B5647"/>
    <w:rsid w:val="001B661C"/>
    <w:rsid w:val="001C0376"/>
    <w:rsid w:val="001C0A80"/>
    <w:rsid w:val="001C10A4"/>
    <w:rsid w:val="001C12E8"/>
    <w:rsid w:val="001C13D6"/>
    <w:rsid w:val="001C1A4B"/>
    <w:rsid w:val="001C23C1"/>
    <w:rsid w:val="001C2587"/>
    <w:rsid w:val="001C2A5B"/>
    <w:rsid w:val="001C2F51"/>
    <w:rsid w:val="001C3631"/>
    <w:rsid w:val="001C3CB6"/>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3240"/>
    <w:rsid w:val="002045A3"/>
    <w:rsid w:val="002048BD"/>
    <w:rsid w:val="002054FC"/>
    <w:rsid w:val="00206699"/>
    <w:rsid w:val="00206DF3"/>
    <w:rsid w:val="00207358"/>
    <w:rsid w:val="002103AF"/>
    <w:rsid w:val="00211709"/>
    <w:rsid w:val="002126B8"/>
    <w:rsid w:val="00212C1B"/>
    <w:rsid w:val="00215BF5"/>
    <w:rsid w:val="002168F2"/>
    <w:rsid w:val="00216AD6"/>
    <w:rsid w:val="00216BB0"/>
    <w:rsid w:val="00217189"/>
    <w:rsid w:val="00217E7E"/>
    <w:rsid w:val="00217FEC"/>
    <w:rsid w:val="0022150A"/>
    <w:rsid w:val="00223BFD"/>
    <w:rsid w:val="00224214"/>
    <w:rsid w:val="00224221"/>
    <w:rsid w:val="00224D4D"/>
    <w:rsid w:val="00224DA2"/>
    <w:rsid w:val="002259CE"/>
    <w:rsid w:val="00225BE3"/>
    <w:rsid w:val="00226185"/>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E46"/>
    <w:rsid w:val="0027589A"/>
    <w:rsid w:val="00275998"/>
    <w:rsid w:val="00275D2A"/>
    <w:rsid w:val="00275DA4"/>
    <w:rsid w:val="0027671F"/>
    <w:rsid w:val="002803AE"/>
    <w:rsid w:val="0028042C"/>
    <w:rsid w:val="0028071C"/>
    <w:rsid w:val="002814EE"/>
    <w:rsid w:val="002817D8"/>
    <w:rsid w:val="00283014"/>
    <w:rsid w:val="002854CF"/>
    <w:rsid w:val="00285968"/>
    <w:rsid w:val="0028727D"/>
    <w:rsid w:val="00290080"/>
    <w:rsid w:val="00291075"/>
    <w:rsid w:val="0029195F"/>
    <w:rsid w:val="00291C07"/>
    <w:rsid w:val="00291C0E"/>
    <w:rsid w:val="00291C73"/>
    <w:rsid w:val="0029293D"/>
    <w:rsid w:val="00292A2E"/>
    <w:rsid w:val="002939F5"/>
    <w:rsid w:val="002945D4"/>
    <w:rsid w:val="00294B62"/>
    <w:rsid w:val="00295B63"/>
    <w:rsid w:val="00295E27"/>
    <w:rsid w:val="0029618B"/>
    <w:rsid w:val="002965D8"/>
    <w:rsid w:val="0029691C"/>
    <w:rsid w:val="00296C66"/>
    <w:rsid w:val="00296FD9"/>
    <w:rsid w:val="0029754F"/>
    <w:rsid w:val="002A0C31"/>
    <w:rsid w:val="002A3E16"/>
    <w:rsid w:val="002A472E"/>
    <w:rsid w:val="002A47A3"/>
    <w:rsid w:val="002A4F73"/>
    <w:rsid w:val="002A5322"/>
    <w:rsid w:val="002A6D1B"/>
    <w:rsid w:val="002A6DFE"/>
    <w:rsid w:val="002A7085"/>
    <w:rsid w:val="002A7834"/>
    <w:rsid w:val="002B13E0"/>
    <w:rsid w:val="002B1973"/>
    <w:rsid w:val="002B1D9A"/>
    <w:rsid w:val="002B1FBF"/>
    <w:rsid w:val="002B26C9"/>
    <w:rsid w:val="002B2F5C"/>
    <w:rsid w:val="002B3305"/>
    <w:rsid w:val="002B3410"/>
    <w:rsid w:val="002B38D3"/>
    <w:rsid w:val="002B38E7"/>
    <w:rsid w:val="002B38EE"/>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41F"/>
    <w:rsid w:val="002D6F9C"/>
    <w:rsid w:val="002D72D9"/>
    <w:rsid w:val="002E04F9"/>
    <w:rsid w:val="002E0567"/>
    <w:rsid w:val="002E0A88"/>
    <w:rsid w:val="002E2805"/>
    <w:rsid w:val="002E3423"/>
    <w:rsid w:val="002E383E"/>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251"/>
    <w:rsid w:val="00301372"/>
    <w:rsid w:val="003020B4"/>
    <w:rsid w:val="00302172"/>
    <w:rsid w:val="0030304B"/>
    <w:rsid w:val="003031E5"/>
    <w:rsid w:val="003037AE"/>
    <w:rsid w:val="00303DF2"/>
    <w:rsid w:val="00303E2A"/>
    <w:rsid w:val="00303E49"/>
    <w:rsid w:val="00305DE2"/>
    <w:rsid w:val="00306267"/>
    <w:rsid w:val="00306771"/>
    <w:rsid w:val="00307046"/>
    <w:rsid w:val="003076C5"/>
    <w:rsid w:val="003112F3"/>
    <w:rsid w:val="00311B8D"/>
    <w:rsid w:val="003134A3"/>
    <w:rsid w:val="003136A2"/>
    <w:rsid w:val="00313884"/>
    <w:rsid w:val="00314B6E"/>
    <w:rsid w:val="00315EF8"/>
    <w:rsid w:val="00316090"/>
    <w:rsid w:val="003170E1"/>
    <w:rsid w:val="00317C0B"/>
    <w:rsid w:val="00317C4E"/>
    <w:rsid w:val="003228EC"/>
    <w:rsid w:val="00323DD8"/>
    <w:rsid w:val="00325455"/>
    <w:rsid w:val="003270A7"/>
    <w:rsid w:val="0033080F"/>
    <w:rsid w:val="00330AA6"/>
    <w:rsid w:val="0033109A"/>
    <w:rsid w:val="00331500"/>
    <w:rsid w:val="00331634"/>
    <w:rsid w:val="003316B2"/>
    <w:rsid w:val="0033212C"/>
    <w:rsid w:val="00332E25"/>
    <w:rsid w:val="003333D6"/>
    <w:rsid w:val="003336DA"/>
    <w:rsid w:val="00333BF6"/>
    <w:rsid w:val="00333C93"/>
    <w:rsid w:val="00334588"/>
    <w:rsid w:val="0033470B"/>
    <w:rsid w:val="00334A5B"/>
    <w:rsid w:val="00334C1E"/>
    <w:rsid w:val="00334C7B"/>
    <w:rsid w:val="00334D2A"/>
    <w:rsid w:val="00334D5F"/>
    <w:rsid w:val="00335528"/>
    <w:rsid w:val="00337AA1"/>
    <w:rsid w:val="00337C87"/>
    <w:rsid w:val="0034028D"/>
    <w:rsid w:val="0034167F"/>
    <w:rsid w:val="0034187D"/>
    <w:rsid w:val="003429CE"/>
    <w:rsid w:val="0034368F"/>
    <w:rsid w:val="0034380B"/>
    <w:rsid w:val="00343C61"/>
    <w:rsid w:val="0034437E"/>
    <w:rsid w:val="00344D8D"/>
    <w:rsid w:val="00345042"/>
    <w:rsid w:val="003463CD"/>
    <w:rsid w:val="00346F7E"/>
    <w:rsid w:val="00347845"/>
    <w:rsid w:val="0035047C"/>
    <w:rsid w:val="0035102B"/>
    <w:rsid w:val="003512BF"/>
    <w:rsid w:val="00351439"/>
    <w:rsid w:val="00352333"/>
    <w:rsid w:val="00352793"/>
    <w:rsid w:val="00352D43"/>
    <w:rsid w:val="00353232"/>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D029A"/>
    <w:rsid w:val="003D1157"/>
    <w:rsid w:val="003D21A8"/>
    <w:rsid w:val="003D2D83"/>
    <w:rsid w:val="003D2D8F"/>
    <w:rsid w:val="003D41E8"/>
    <w:rsid w:val="003D47BC"/>
    <w:rsid w:val="003D61D4"/>
    <w:rsid w:val="003D6259"/>
    <w:rsid w:val="003D6285"/>
    <w:rsid w:val="003D7A7F"/>
    <w:rsid w:val="003D7AA1"/>
    <w:rsid w:val="003D7E0A"/>
    <w:rsid w:val="003E0172"/>
    <w:rsid w:val="003E0723"/>
    <w:rsid w:val="003E0AC7"/>
    <w:rsid w:val="003E0B02"/>
    <w:rsid w:val="003E1605"/>
    <w:rsid w:val="003E1FD8"/>
    <w:rsid w:val="003E1FE8"/>
    <w:rsid w:val="003E2725"/>
    <w:rsid w:val="003E40E1"/>
    <w:rsid w:val="003E59C7"/>
    <w:rsid w:val="003E7B80"/>
    <w:rsid w:val="003F03D8"/>
    <w:rsid w:val="003F089D"/>
    <w:rsid w:val="003F143A"/>
    <w:rsid w:val="003F1D1B"/>
    <w:rsid w:val="003F346D"/>
    <w:rsid w:val="003F3ED0"/>
    <w:rsid w:val="003F4EA4"/>
    <w:rsid w:val="003F7518"/>
    <w:rsid w:val="003F76C2"/>
    <w:rsid w:val="003F77B4"/>
    <w:rsid w:val="003F7ECD"/>
    <w:rsid w:val="0040029F"/>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26B"/>
    <w:rsid w:val="00417A97"/>
    <w:rsid w:val="00417BB1"/>
    <w:rsid w:val="00417D62"/>
    <w:rsid w:val="00420A32"/>
    <w:rsid w:val="00420BAB"/>
    <w:rsid w:val="004212EA"/>
    <w:rsid w:val="00421BE7"/>
    <w:rsid w:val="00422127"/>
    <w:rsid w:val="00422FE9"/>
    <w:rsid w:val="004233CB"/>
    <w:rsid w:val="00423C22"/>
    <w:rsid w:val="004265A6"/>
    <w:rsid w:val="0042660D"/>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7E0"/>
    <w:rsid w:val="004B0216"/>
    <w:rsid w:val="004B0CB1"/>
    <w:rsid w:val="004B0EFC"/>
    <w:rsid w:val="004B0F16"/>
    <w:rsid w:val="004B18E6"/>
    <w:rsid w:val="004B2CD1"/>
    <w:rsid w:val="004B2FDA"/>
    <w:rsid w:val="004B3310"/>
    <w:rsid w:val="004B3AF2"/>
    <w:rsid w:val="004B4FBC"/>
    <w:rsid w:val="004B584D"/>
    <w:rsid w:val="004B6A00"/>
    <w:rsid w:val="004B7FF8"/>
    <w:rsid w:val="004C0076"/>
    <w:rsid w:val="004C027B"/>
    <w:rsid w:val="004C0296"/>
    <w:rsid w:val="004C132D"/>
    <w:rsid w:val="004C1698"/>
    <w:rsid w:val="004C2D7C"/>
    <w:rsid w:val="004C3029"/>
    <w:rsid w:val="004C393F"/>
    <w:rsid w:val="004C3B22"/>
    <w:rsid w:val="004C3DCA"/>
    <w:rsid w:val="004C4594"/>
    <w:rsid w:val="004C47E2"/>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5EE"/>
    <w:rsid w:val="004E5DAD"/>
    <w:rsid w:val="004E5E22"/>
    <w:rsid w:val="004E606C"/>
    <w:rsid w:val="004E6EE2"/>
    <w:rsid w:val="004E797B"/>
    <w:rsid w:val="004E799C"/>
    <w:rsid w:val="004E7F06"/>
    <w:rsid w:val="004F1495"/>
    <w:rsid w:val="004F454D"/>
    <w:rsid w:val="004F4F9D"/>
    <w:rsid w:val="004F56F3"/>
    <w:rsid w:val="004F620F"/>
    <w:rsid w:val="004F63F1"/>
    <w:rsid w:val="004F6442"/>
    <w:rsid w:val="004F65AD"/>
    <w:rsid w:val="004F6ED1"/>
    <w:rsid w:val="004F7ADA"/>
    <w:rsid w:val="0050011B"/>
    <w:rsid w:val="00500A68"/>
    <w:rsid w:val="005045F0"/>
    <w:rsid w:val="005070D4"/>
    <w:rsid w:val="00507CB7"/>
    <w:rsid w:val="00511180"/>
    <w:rsid w:val="00511772"/>
    <w:rsid w:val="0051347A"/>
    <w:rsid w:val="00513590"/>
    <w:rsid w:val="00513B1C"/>
    <w:rsid w:val="005150DC"/>
    <w:rsid w:val="0051764C"/>
    <w:rsid w:val="005209E5"/>
    <w:rsid w:val="0052198C"/>
    <w:rsid w:val="0052361C"/>
    <w:rsid w:val="00523E57"/>
    <w:rsid w:val="00524077"/>
    <w:rsid w:val="005246EF"/>
    <w:rsid w:val="00525ADE"/>
    <w:rsid w:val="0052674F"/>
    <w:rsid w:val="00526BAB"/>
    <w:rsid w:val="00526DE7"/>
    <w:rsid w:val="00527194"/>
    <w:rsid w:val="005305D9"/>
    <w:rsid w:val="00530D1C"/>
    <w:rsid w:val="00531E48"/>
    <w:rsid w:val="005335CB"/>
    <w:rsid w:val="005337D3"/>
    <w:rsid w:val="00533987"/>
    <w:rsid w:val="00533A60"/>
    <w:rsid w:val="00534124"/>
    <w:rsid w:val="00535F5C"/>
    <w:rsid w:val="00537D1A"/>
    <w:rsid w:val="005412ED"/>
    <w:rsid w:val="0054185C"/>
    <w:rsid w:val="00541D05"/>
    <w:rsid w:val="00542C29"/>
    <w:rsid w:val="00542F1E"/>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186A"/>
    <w:rsid w:val="00551A9D"/>
    <w:rsid w:val="00551D40"/>
    <w:rsid w:val="00552168"/>
    <w:rsid w:val="00552BBB"/>
    <w:rsid w:val="00553D51"/>
    <w:rsid w:val="00553EC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54FA"/>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5517"/>
    <w:rsid w:val="005A5E4A"/>
    <w:rsid w:val="005A7F8C"/>
    <w:rsid w:val="005B06BD"/>
    <w:rsid w:val="005B0E73"/>
    <w:rsid w:val="005B176E"/>
    <w:rsid w:val="005B195C"/>
    <w:rsid w:val="005B1F39"/>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5914"/>
    <w:rsid w:val="005C5F5D"/>
    <w:rsid w:val="005C677D"/>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235A"/>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825"/>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75AA"/>
    <w:rsid w:val="00640093"/>
    <w:rsid w:val="00641392"/>
    <w:rsid w:val="0064167E"/>
    <w:rsid w:val="00641FE9"/>
    <w:rsid w:val="00642AFB"/>
    <w:rsid w:val="006434FB"/>
    <w:rsid w:val="00643BA3"/>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76E7"/>
    <w:rsid w:val="00697A7D"/>
    <w:rsid w:val="00697E70"/>
    <w:rsid w:val="006A0A88"/>
    <w:rsid w:val="006A3DA7"/>
    <w:rsid w:val="006A7EBD"/>
    <w:rsid w:val="006B0225"/>
    <w:rsid w:val="006B137F"/>
    <w:rsid w:val="006B209E"/>
    <w:rsid w:val="006B2874"/>
    <w:rsid w:val="006B2944"/>
    <w:rsid w:val="006B4070"/>
    <w:rsid w:val="006B490E"/>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662F"/>
    <w:rsid w:val="00736870"/>
    <w:rsid w:val="007369F1"/>
    <w:rsid w:val="00737CB4"/>
    <w:rsid w:val="00740643"/>
    <w:rsid w:val="0074072F"/>
    <w:rsid w:val="00741F6A"/>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2B51"/>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E30"/>
    <w:rsid w:val="007E055A"/>
    <w:rsid w:val="007E208F"/>
    <w:rsid w:val="007E20DF"/>
    <w:rsid w:val="007E20FD"/>
    <w:rsid w:val="007E306F"/>
    <w:rsid w:val="007E3300"/>
    <w:rsid w:val="007E3AAC"/>
    <w:rsid w:val="007E3B33"/>
    <w:rsid w:val="007E4201"/>
    <w:rsid w:val="007E4633"/>
    <w:rsid w:val="007E48E5"/>
    <w:rsid w:val="007E5900"/>
    <w:rsid w:val="007E5A95"/>
    <w:rsid w:val="007E68AB"/>
    <w:rsid w:val="007E6952"/>
    <w:rsid w:val="007E6C43"/>
    <w:rsid w:val="007E6FAE"/>
    <w:rsid w:val="007F1417"/>
    <w:rsid w:val="007F187A"/>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D56"/>
    <w:rsid w:val="00826E29"/>
    <w:rsid w:val="00826EEA"/>
    <w:rsid w:val="00827590"/>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12C"/>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4C79"/>
    <w:rsid w:val="0088521F"/>
    <w:rsid w:val="00885809"/>
    <w:rsid w:val="00886018"/>
    <w:rsid w:val="00886B80"/>
    <w:rsid w:val="0088749F"/>
    <w:rsid w:val="00890EE4"/>
    <w:rsid w:val="00891505"/>
    <w:rsid w:val="0089195F"/>
    <w:rsid w:val="00891EE9"/>
    <w:rsid w:val="00892440"/>
    <w:rsid w:val="00892A42"/>
    <w:rsid w:val="00892F61"/>
    <w:rsid w:val="00893B96"/>
    <w:rsid w:val="00893D47"/>
    <w:rsid w:val="00893F79"/>
    <w:rsid w:val="0089493B"/>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5A0F"/>
    <w:rsid w:val="008A7734"/>
    <w:rsid w:val="008A79C5"/>
    <w:rsid w:val="008A7CD4"/>
    <w:rsid w:val="008B0404"/>
    <w:rsid w:val="008B05CF"/>
    <w:rsid w:val="008B3407"/>
    <w:rsid w:val="008B39ED"/>
    <w:rsid w:val="008B456D"/>
    <w:rsid w:val="008B4788"/>
    <w:rsid w:val="008B4A3E"/>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2F3"/>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6FD4"/>
    <w:rsid w:val="009074E8"/>
    <w:rsid w:val="00907F83"/>
    <w:rsid w:val="00913347"/>
    <w:rsid w:val="00913355"/>
    <w:rsid w:val="0091389F"/>
    <w:rsid w:val="0091442B"/>
    <w:rsid w:val="0091491B"/>
    <w:rsid w:val="00914D31"/>
    <w:rsid w:val="00915844"/>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7F7"/>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4C4B"/>
    <w:rsid w:val="00955FA6"/>
    <w:rsid w:val="00956520"/>
    <w:rsid w:val="00956578"/>
    <w:rsid w:val="009566CF"/>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2FAB"/>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42CC"/>
    <w:rsid w:val="009A47F2"/>
    <w:rsid w:val="009A563A"/>
    <w:rsid w:val="009A618E"/>
    <w:rsid w:val="009A71C9"/>
    <w:rsid w:val="009B01A0"/>
    <w:rsid w:val="009B0E23"/>
    <w:rsid w:val="009B1519"/>
    <w:rsid w:val="009B152F"/>
    <w:rsid w:val="009B1D9A"/>
    <w:rsid w:val="009B2A5C"/>
    <w:rsid w:val="009B4A4B"/>
    <w:rsid w:val="009B4C57"/>
    <w:rsid w:val="009B4DF2"/>
    <w:rsid w:val="009B4F29"/>
    <w:rsid w:val="009B5091"/>
    <w:rsid w:val="009B5895"/>
    <w:rsid w:val="009B653A"/>
    <w:rsid w:val="009B758C"/>
    <w:rsid w:val="009C0D1A"/>
    <w:rsid w:val="009C3FD8"/>
    <w:rsid w:val="009C4162"/>
    <w:rsid w:val="009C4CB1"/>
    <w:rsid w:val="009C4DA4"/>
    <w:rsid w:val="009C582F"/>
    <w:rsid w:val="009C69E3"/>
    <w:rsid w:val="009C6C1C"/>
    <w:rsid w:val="009D088A"/>
    <w:rsid w:val="009D0AE7"/>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2C45"/>
    <w:rsid w:val="009F31C8"/>
    <w:rsid w:val="009F3A67"/>
    <w:rsid w:val="009F7709"/>
    <w:rsid w:val="009F7B57"/>
    <w:rsid w:val="009F7D5F"/>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8A7"/>
    <w:rsid w:val="00A2169D"/>
    <w:rsid w:val="00A217F7"/>
    <w:rsid w:val="00A21911"/>
    <w:rsid w:val="00A241FA"/>
    <w:rsid w:val="00A247CA"/>
    <w:rsid w:val="00A248C2"/>
    <w:rsid w:val="00A24DA3"/>
    <w:rsid w:val="00A25BAF"/>
    <w:rsid w:val="00A26DB1"/>
    <w:rsid w:val="00A27AC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E8A"/>
    <w:rsid w:val="00A56A92"/>
    <w:rsid w:val="00A56DF1"/>
    <w:rsid w:val="00A608A6"/>
    <w:rsid w:val="00A60E91"/>
    <w:rsid w:val="00A60EC7"/>
    <w:rsid w:val="00A61554"/>
    <w:rsid w:val="00A63E02"/>
    <w:rsid w:val="00A641AC"/>
    <w:rsid w:val="00A644E0"/>
    <w:rsid w:val="00A648B8"/>
    <w:rsid w:val="00A652B0"/>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2D6C"/>
    <w:rsid w:val="00AC32CF"/>
    <w:rsid w:val="00AC3911"/>
    <w:rsid w:val="00AC3EBA"/>
    <w:rsid w:val="00AC3FF8"/>
    <w:rsid w:val="00AC5A7B"/>
    <w:rsid w:val="00AC5E15"/>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8C"/>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503B"/>
    <w:rsid w:val="00B251CE"/>
    <w:rsid w:val="00B2579E"/>
    <w:rsid w:val="00B25B7A"/>
    <w:rsid w:val="00B26839"/>
    <w:rsid w:val="00B26AC9"/>
    <w:rsid w:val="00B2765F"/>
    <w:rsid w:val="00B27968"/>
    <w:rsid w:val="00B27CD5"/>
    <w:rsid w:val="00B30B09"/>
    <w:rsid w:val="00B324DE"/>
    <w:rsid w:val="00B33044"/>
    <w:rsid w:val="00B332A3"/>
    <w:rsid w:val="00B33842"/>
    <w:rsid w:val="00B340B4"/>
    <w:rsid w:val="00B342DA"/>
    <w:rsid w:val="00B34C25"/>
    <w:rsid w:val="00B35477"/>
    <w:rsid w:val="00B358BF"/>
    <w:rsid w:val="00B3716B"/>
    <w:rsid w:val="00B37B5A"/>
    <w:rsid w:val="00B406BD"/>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D14"/>
    <w:rsid w:val="00B52A43"/>
    <w:rsid w:val="00B52EAD"/>
    <w:rsid w:val="00B53076"/>
    <w:rsid w:val="00B53F6F"/>
    <w:rsid w:val="00B5527D"/>
    <w:rsid w:val="00B55593"/>
    <w:rsid w:val="00B55A4E"/>
    <w:rsid w:val="00B56801"/>
    <w:rsid w:val="00B568F2"/>
    <w:rsid w:val="00B6110E"/>
    <w:rsid w:val="00B62722"/>
    <w:rsid w:val="00B62F55"/>
    <w:rsid w:val="00B63B7C"/>
    <w:rsid w:val="00B6565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D53"/>
    <w:rsid w:val="00B979D9"/>
    <w:rsid w:val="00BA10AF"/>
    <w:rsid w:val="00BA1685"/>
    <w:rsid w:val="00BA1994"/>
    <w:rsid w:val="00BA1A58"/>
    <w:rsid w:val="00BA1ABD"/>
    <w:rsid w:val="00BA1D06"/>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6E6"/>
    <w:rsid w:val="00BC7A11"/>
    <w:rsid w:val="00BD16FF"/>
    <w:rsid w:val="00BD23DE"/>
    <w:rsid w:val="00BD36E3"/>
    <w:rsid w:val="00BD3CBA"/>
    <w:rsid w:val="00BD4197"/>
    <w:rsid w:val="00BD4392"/>
    <w:rsid w:val="00BD4BDE"/>
    <w:rsid w:val="00BD4D67"/>
    <w:rsid w:val="00BD5901"/>
    <w:rsid w:val="00BD5F57"/>
    <w:rsid w:val="00BD7022"/>
    <w:rsid w:val="00BD73E3"/>
    <w:rsid w:val="00BE12FC"/>
    <w:rsid w:val="00BE1FDA"/>
    <w:rsid w:val="00BE222E"/>
    <w:rsid w:val="00BE3B7B"/>
    <w:rsid w:val="00BE3E35"/>
    <w:rsid w:val="00BE4277"/>
    <w:rsid w:val="00BE445B"/>
    <w:rsid w:val="00BE4967"/>
    <w:rsid w:val="00BE4A8B"/>
    <w:rsid w:val="00BE4C9D"/>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5178"/>
    <w:rsid w:val="00C15772"/>
    <w:rsid w:val="00C15C7B"/>
    <w:rsid w:val="00C167AB"/>
    <w:rsid w:val="00C16FFB"/>
    <w:rsid w:val="00C1767E"/>
    <w:rsid w:val="00C17858"/>
    <w:rsid w:val="00C17CFA"/>
    <w:rsid w:val="00C2201B"/>
    <w:rsid w:val="00C232AA"/>
    <w:rsid w:val="00C2383B"/>
    <w:rsid w:val="00C25390"/>
    <w:rsid w:val="00C26509"/>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902BA"/>
    <w:rsid w:val="00C91079"/>
    <w:rsid w:val="00C91FCB"/>
    <w:rsid w:val="00C927CC"/>
    <w:rsid w:val="00C92A7E"/>
    <w:rsid w:val="00C92D10"/>
    <w:rsid w:val="00C92F44"/>
    <w:rsid w:val="00C93700"/>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C19"/>
    <w:rsid w:val="00CD128F"/>
    <w:rsid w:val="00CD1988"/>
    <w:rsid w:val="00CD2CFD"/>
    <w:rsid w:val="00CD794F"/>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413"/>
    <w:rsid w:val="00D2585D"/>
    <w:rsid w:val="00D25B07"/>
    <w:rsid w:val="00D27EED"/>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4A8D"/>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B84"/>
    <w:rsid w:val="00D5639F"/>
    <w:rsid w:val="00D564B8"/>
    <w:rsid w:val="00D5658E"/>
    <w:rsid w:val="00D57F6D"/>
    <w:rsid w:val="00D600FE"/>
    <w:rsid w:val="00D6023D"/>
    <w:rsid w:val="00D6059E"/>
    <w:rsid w:val="00D63856"/>
    <w:rsid w:val="00D640E8"/>
    <w:rsid w:val="00D6420B"/>
    <w:rsid w:val="00D65CDF"/>
    <w:rsid w:val="00D66AAE"/>
    <w:rsid w:val="00D672C2"/>
    <w:rsid w:val="00D67D04"/>
    <w:rsid w:val="00D711AD"/>
    <w:rsid w:val="00D71794"/>
    <w:rsid w:val="00D71826"/>
    <w:rsid w:val="00D72AC1"/>
    <w:rsid w:val="00D732ED"/>
    <w:rsid w:val="00D73687"/>
    <w:rsid w:val="00D7493C"/>
    <w:rsid w:val="00D75C1B"/>
    <w:rsid w:val="00D75F4E"/>
    <w:rsid w:val="00D76372"/>
    <w:rsid w:val="00D7646F"/>
    <w:rsid w:val="00D76567"/>
    <w:rsid w:val="00D77104"/>
    <w:rsid w:val="00D77F9C"/>
    <w:rsid w:val="00D806AF"/>
    <w:rsid w:val="00D809FB"/>
    <w:rsid w:val="00D80C87"/>
    <w:rsid w:val="00D81F2F"/>
    <w:rsid w:val="00D822F0"/>
    <w:rsid w:val="00D82C84"/>
    <w:rsid w:val="00D83B9B"/>
    <w:rsid w:val="00D842D2"/>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5B65"/>
    <w:rsid w:val="00DD7C51"/>
    <w:rsid w:val="00DE142A"/>
    <w:rsid w:val="00DE1689"/>
    <w:rsid w:val="00DE2140"/>
    <w:rsid w:val="00DE27D4"/>
    <w:rsid w:val="00DE4730"/>
    <w:rsid w:val="00DE48AB"/>
    <w:rsid w:val="00DE4C0D"/>
    <w:rsid w:val="00DE4FDB"/>
    <w:rsid w:val="00DE5426"/>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48DD"/>
    <w:rsid w:val="00E0686F"/>
    <w:rsid w:val="00E06D47"/>
    <w:rsid w:val="00E078A6"/>
    <w:rsid w:val="00E1060B"/>
    <w:rsid w:val="00E108BE"/>
    <w:rsid w:val="00E10EDA"/>
    <w:rsid w:val="00E113DE"/>
    <w:rsid w:val="00E116BE"/>
    <w:rsid w:val="00E118C5"/>
    <w:rsid w:val="00E1197B"/>
    <w:rsid w:val="00E12A28"/>
    <w:rsid w:val="00E12DEF"/>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E7F"/>
    <w:rsid w:val="00E96FD6"/>
    <w:rsid w:val="00EA04F7"/>
    <w:rsid w:val="00EA0C01"/>
    <w:rsid w:val="00EA276C"/>
    <w:rsid w:val="00EA2FBB"/>
    <w:rsid w:val="00EA316B"/>
    <w:rsid w:val="00EA424D"/>
    <w:rsid w:val="00EA454C"/>
    <w:rsid w:val="00EA4C8E"/>
    <w:rsid w:val="00EA51A7"/>
    <w:rsid w:val="00EA53FD"/>
    <w:rsid w:val="00EA6245"/>
    <w:rsid w:val="00EA62D6"/>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44A"/>
    <w:rsid w:val="00ED056F"/>
    <w:rsid w:val="00ED0CBC"/>
    <w:rsid w:val="00ED1B72"/>
    <w:rsid w:val="00ED1E94"/>
    <w:rsid w:val="00ED37E5"/>
    <w:rsid w:val="00ED3D84"/>
    <w:rsid w:val="00ED422F"/>
    <w:rsid w:val="00ED48A1"/>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23"/>
    <w:rsid w:val="00EF6874"/>
    <w:rsid w:val="00EF6F87"/>
    <w:rsid w:val="00F00737"/>
    <w:rsid w:val="00F01CCC"/>
    <w:rsid w:val="00F02205"/>
    <w:rsid w:val="00F02B84"/>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50D"/>
    <w:rsid w:val="00F228EC"/>
    <w:rsid w:val="00F22C04"/>
    <w:rsid w:val="00F236C5"/>
    <w:rsid w:val="00F24973"/>
    <w:rsid w:val="00F25392"/>
    <w:rsid w:val="00F253AB"/>
    <w:rsid w:val="00F25920"/>
    <w:rsid w:val="00F25F42"/>
    <w:rsid w:val="00F26AE3"/>
    <w:rsid w:val="00F277F8"/>
    <w:rsid w:val="00F27FF4"/>
    <w:rsid w:val="00F31FEC"/>
    <w:rsid w:val="00F320AC"/>
    <w:rsid w:val="00F32405"/>
    <w:rsid w:val="00F328E0"/>
    <w:rsid w:val="00F34489"/>
    <w:rsid w:val="00F347BA"/>
    <w:rsid w:val="00F3495F"/>
    <w:rsid w:val="00F3518D"/>
    <w:rsid w:val="00F351CB"/>
    <w:rsid w:val="00F3565E"/>
    <w:rsid w:val="00F362BB"/>
    <w:rsid w:val="00F36B0A"/>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965"/>
    <w:rsid w:val="00F749D3"/>
    <w:rsid w:val="00F74B30"/>
    <w:rsid w:val="00F754FA"/>
    <w:rsid w:val="00F75DC6"/>
    <w:rsid w:val="00F75F54"/>
    <w:rsid w:val="00F7752F"/>
    <w:rsid w:val="00F808D1"/>
    <w:rsid w:val="00F81EC4"/>
    <w:rsid w:val="00F8201A"/>
    <w:rsid w:val="00F821B9"/>
    <w:rsid w:val="00F83462"/>
    <w:rsid w:val="00F8359B"/>
    <w:rsid w:val="00F839EC"/>
    <w:rsid w:val="00F84CD3"/>
    <w:rsid w:val="00F857F2"/>
    <w:rsid w:val="00F85BC4"/>
    <w:rsid w:val="00F87313"/>
    <w:rsid w:val="00F87476"/>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42EB"/>
    <w:rsid w:val="00FE541D"/>
    <w:rsid w:val="00FE5B92"/>
    <w:rsid w:val="00FE6414"/>
    <w:rsid w:val="00FE6719"/>
    <w:rsid w:val="00FE68FF"/>
    <w:rsid w:val="00FE7719"/>
    <w:rsid w:val="00FE7E29"/>
    <w:rsid w:val="00FF069E"/>
    <w:rsid w:val="00FF1F53"/>
    <w:rsid w:val="00FF21A7"/>
    <w:rsid w:val="00FF2A67"/>
    <w:rsid w:val="00FF2A6E"/>
    <w:rsid w:val="00FF3A57"/>
    <w:rsid w:val="00FF5167"/>
    <w:rsid w:val="00FF568F"/>
    <w:rsid w:val="00FF6B64"/>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8B9AC8E5-05A6-46A8-9956-D0AC540D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4398">
      <w:bodyDiv w:val="1"/>
      <w:marLeft w:val="0"/>
      <w:marRight w:val="0"/>
      <w:marTop w:val="0"/>
      <w:marBottom w:val="0"/>
      <w:divBdr>
        <w:top w:val="none" w:sz="0" w:space="0" w:color="auto"/>
        <w:left w:val="none" w:sz="0" w:space="0" w:color="auto"/>
        <w:bottom w:val="none" w:sz="0" w:space="0" w:color="auto"/>
        <w:right w:val="none" w:sz="0" w:space="0" w:color="auto"/>
      </w:divBdr>
      <w:divsChild>
        <w:div w:id="1920092298">
          <w:marLeft w:val="360"/>
          <w:marRight w:val="0"/>
          <w:marTop w:val="200"/>
          <w:marBottom w:val="0"/>
          <w:divBdr>
            <w:top w:val="none" w:sz="0" w:space="0" w:color="auto"/>
            <w:left w:val="none" w:sz="0" w:space="0" w:color="auto"/>
            <w:bottom w:val="none" w:sz="0" w:space="0" w:color="auto"/>
            <w:right w:val="none" w:sz="0" w:space="0" w:color="auto"/>
          </w:divBdr>
        </w:div>
        <w:div w:id="1035815220">
          <w:marLeft w:val="1080"/>
          <w:marRight w:val="0"/>
          <w:marTop w:val="100"/>
          <w:marBottom w:val="0"/>
          <w:divBdr>
            <w:top w:val="none" w:sz="0" w:space="0" w:color="auto"/>
            <w:left w:val="none" w:sz="0" w:space="0" w:color="auto"/>
            <w:bottom w:val="none" w:sz="0" w:space="0" w:color="auto"/>
            <w:right w:val="none" w:sz="0" w:space="0" w:color="auto"/>
          </w:divBdr>
        </w:div>
        <w:div w:id="1262301798">
          <w:marLeft w:val="1800"/>
          <w:marRight w:val="0"/>
          <w:marTop w:val="100"/>
          <w:marBottom w:val="0"/>
          <w:divBdr>
            <w:top w:val="none" w:sz="0" w:space="0" w:color="auto"/>
            <w:left w:val="none" w:sz="0" w:space="0" w:color="auto"/>
            <w:bottom w:val="none" w:sz="0" w:space="0" w:color="auto"/>
            <w:right w:val="none" w:sz="0" w:space="0" w:color="auto"/>
          </w:divBdr>
        </w:div>
        <w:div w:id="814250972">
          <w:marLeft w:val="1800"/>
          <w:marRight w:val="0"/>
          <w:marTop w:val="100"/>
          <w:marBottom w:val="0"/>
          <w:divBdr>
            <w:top w:val="none" w:sz="0" w:space="0" w:color="auto"/>
            <w:left w:val="none" w:sz="0" w:space="0" w:color="auto"/>
            <w:bottom w:val="none" w:sz="0" w:space="0" w:color="auto"/>
            <w:right w:val="none" w:sz="0" w:space="0" w:color="auto"/>
          </w:divBdr>
        </w:div>
        <w:div w:id="921182789">
          <w:marLeft w:val="2520"/>
          <w:marRight w:val="0"/>
          <w:marTop w:val="100"/>
          <w:marBottom w:val="0"/>
          <w:divBdr>
            <w:top w:val="none" w:sz="0" w:space="0" w:color="auto"/>
            <w:left w:val="none" w:sz="0" w:space="0" w:color="auto"/>
            <w:bottom w:val="none" w:sz="0" w:space="0" w:color="auto"/>
            <w:right w:val="none" w:sz="0" w:space="0" w:color="auto"/>
          </w:divBdr>
        </w:div>
        <w:div w:id="1992362380">
          <w:marLeft w:val="2520"/>
          <w:marRight w:val="0"/>
          <w:marTop w:val="100"/>
          <w:marBottom w:val="0"/>
          <w:divBdr>
            <w:top w:val="none" w:sz="0" w:space="0" w:color="auto"/>
            <w:left w:val="none" w:sz="0" w:space="0" w:color="auto"/>
            <w:bottom w:val="none" w:sz="0" w:space="0" w:color="auto"/>
            <w:right w:val="none" w:sz="0" w:space="0" w:color="auto"/>
          </w:divBdr>
        </w:div>
        <w:div w:id="1697850680">
          <w:marLeft w:val="1800"/>
          <w:marRight w:val="0"/>
          <w:marTop w:val="100"/>
          <w:marBottom w:val="0"/>
          <w:divBdr>
            <w:top w:val="none" w:sz="0" w:space="0" w:color="auto"/>
            <w:left w:val="none" w:sz="0" w:space="0" w:color="auto"/>
            <w:bottom w:val="none" w:sz="0" w:space="0" w:color="auto"/>
            <w:right w:val="none" w:sz="0" w:space="0" w:color="auto"/>
          </w:divBdr>
        </w:div>
        <w:div w:id="1673600730">
          <w:marLeft w:val="1800"/>
          <w:marRight w:val="0"/>
          <w:marTop w:val="100"/>
          <w:marBottom w:val="0"/>
          <w:divBdr>
            <w:top w:val="none" w:sz="0" w:space="0" w:color="auto"/>
            <w:left w:val="none" w:sz="0" w:space="0" w:color="auto"/>
            <w:bottom w:val="none" w:sz="0" w:space="0" w:color="auto"/>
            <w:right w:val="none" w:sz="0" w:space="0" w:color="auto"/>
          </w:divBdr>
        </w:div>
        <w:div w:id="1631592465">
          <w:marLeft w:val="1800"/>
          <w:marRight w:val="0"/>
          <w:marTop w:val="100"/>
          <w:marBottom w:val="0"/>
          <w:divBdr>
            <w:top w:val="none" w:sz="0" w:space="0" w:color="auto"/>
            <w:left w:val="none" w:sz="0" w:space="0" w:color="auto"/>
            <w:bottom w:val="none" w:sz="0" w:space="0" w:color="auto"/>
            <w:right w:val="none" w:sz="0" w:space="0" w:color="auto"/>
          </w:divBdr>
        </w:div>
        <w:div w:id="1253971122">
          <w:marLeft w:val="1080"/>
          <w:marRight w:val="0"/>
          <w:marTop w:val="100"/>
          <w:marBottom w:val="0"/>
          <w:divBdr>
            <w:top w:val="none" w:sz="0" w:space="0" w:color="auto"/>
            <w:left w:val="none" w:sz="0" w:space="0" w:color="auto"/>
            <w:bottom w:val="none" w:sz="0" w:space="0" w:color="auto"/>
            <w:right w:val="none" w:sz="0" w:space="0" w:color="auto"/>
          </w:divBdr>
        </w:div>
        <w:div w:id="1888756676">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414156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3012696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5AIRPNAIUNRU-1328258698-2486</_dlc_DocId>
    <_dlc_DocIdUrl xmlns="71c5aaf6-e6ce-465b-b873-5148d2a4c105">
      <Url>https://nokia.sharepoint.com/sites/c5g/5gradio/_layouts/15/DocIdRedir.aspx?ID=5AIRPNAIUNRU-1328258698-2486</Url>
      <Description>5AIRPNAIUNRU-1328258698-2486</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C4188-1FA2-4AB1-B20E-98B97FF5D104}">
  <ds:schemaRefs>
    <ds:schemaRef ds:uri="http://schemas.microsoft.com/sharepoint/events"/>
  </ds:schemaRefs>
</ds:datastoreItem>
</file>

<file path=customXml/itemProps2.xml><?xml version="1.0" encoding="utf-8"?>
<ds:datastoreItem xmlns:ds="http://schemas.openxmlformats.org/officeDocument/2006/customXml" ds:itemID="{5F190229-1389-435C-9393-5AB50DBE0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5.xml><?xml version="1.0" encoding="utf-8"?>
<ds:datastoreItem xmlns:ds="http://schemas.openxmlformats.org/officeDocument/2006/customXml" ds:itemID="{FA185B36-47D0-4AD9-BF33-C55B6F51E2E6}">
  <ds:schemaRefs>
    <ds:schemaRef ds:uri="http://schemas.openxmlformats.org/officeDocument/2006/bibliography"/>
  </ds:schemaRefs>
</ds:datastoreItem>
</file>

<file path=customXml/itemProps6.xml><?xml version="1.0" encoding="utf-8"?>
<ds:datastoreItem xmlns:ds="http://schemas.openxmlformats.org/officeDocument/2006/customXml" ds:itemID="{090C41FE-129E-4EC0-B4BA-B7D44FCA2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1470</Words>
  <Characters>8382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Lo, Anthony (Nokia - GB/Bristol)</cp:lastModifiedBy>
  <cp:revision>8</cp:revision>
  <cp:lastPrinted>2013-03-22T23:57:00Z</cp:lastPrinted>
  <dcterms:created xsi:type="dcterms:W3CDTF">2021-04-02T06:35:00Z</dcterms:created>
  <dcterms:modified xsi:type="dcterms:W3CDTF">2021-04-02T19:17:00Z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e97b0ada-6f82-437a-bd41-ccb0845e8ea5</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